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2572C" w14:textId="77777777" w:rsidR="000B7759" w:rsidRPr="00925374" w:rsidRDefault="000B7759" w:rsidP="000B7759">
      <w:pPr>
        <w:jc w:val="right"/>
        <w:rPr>
          <w:rFonts w:ascii="Times New Roman" w:hAnsi="Times New Roman" w:cs="Times New Roman"/>
          <w:b/>
          <w:sz w:val="28"/>
          <w:szCs w:val="28"/>
          <w:lang w:val="en-US"/>
        </w:rPr>
      </w:pPr>
    </w:p>
    <w:p w14:paraId="59E6E543" w14:textId="77777777" w:rsidR="000B7759" w:rsidRDefault="000B7759" w:rsidP="000B7759">
      <w:pPr>
        <w:jc w:val="right"/>
        <w:rPr>
          <w:rFonts w:ascii="Times New Roman" w:hAnsi="Times New Roman" w:cs="Times New Roman"/>
          <w:b/>
          <w:sz w:val="28"/>
          <w:szCs w:val="28"/>
        </w:rPr>
      </w:pPr>
    </w:p>
    <w:p w14:paraId="09F6109D" w14:textId="77777777" w:rsidR="000B7759" w:rsidRDefault="000B7759" w:rsidP="000B7759">
      <w:pPr>
        <w:jc w:val="right"/>
        <w:rPr>
          <w:rFonts w:ascii="Times New Roman" w:hAnsi="Times New Roman" w:cs="Times New Roman"/>
          <w:b/>
          <w:sz w:val="28"/>
          <w:szCs w:val="28"/>
        </w:rPr>
      </w:pPr>
    </w:p>
    <w:p w14:paraId="3FE7FF46" w14:textId="77777777" w:rsidR="000B7759" w:rsidRDefault="000B7759" w:rsidP="000B7759">
      <w:pPr>
        <w:jc w:val="right"/>
        <w:rPr>
          <w:rFonts w:ascii="Times New Roman" w:hAnsi="Times New Roman" w:cs="Times New Roman"/>
          <w:b/>
          <w:sz w:val="28"/>
          <w:szCs w:val="28"/>
        </w:rPr>
      </w:pPr>
    </w:p>
    <w:p w14:paraId="4238E8A9" w14:textId="77777777" w:rsidR="000B7759" w:rsidRDefault="000B7759" w:rsidP="000B7759">
      <w:pPr>
        <w:jc w:val="right"/>
        <w:rPr>
          <w:rFonts w:ascii="Times New Roman" w:hAnsi="Times New Roman" w:cs="Times New Roman"/>
          <w:b/>
          <w:sz w:val="28"/>
          <w:szCs w:val="28"/>
        </w:rPr>
      </w:pPr>
    </w:p>
    <w:p w14:paraId="1C427922" w14:textId="77777777" w:rsidR="000B7759" w:rsidRDefault="000B7759" w:rsidP="000B7759">
      <w:pPr>
        <w:jc w:val="right"/>
        <w:rPr>
          <w:rFonts w:ascii="Times New Roman" w:hAnsi="Times New Roman" w:cs="Times New Roman"/>
          <w:b/>
          <w:sz w:val="28"/>
          <w:szCs w:val="28"/>
        </w:rPr>
      </w:pPr>
    </w:p>
    <w:p w14:paraId="3D2DC9BF" w14:textId="77777777" w:rsidR="000B7759" w:rsidRDefault="000B7759" w:rsidP="000B7759">
      <w:pPr>
        <w:jc w:val="right"/>
        <w:rPr>
          <w:rFonts w:ascii="Times New Roman" w:hAnsi="Times New Roman" w:cs="Times New Roman"/>
          <w:b/>
          <w:sz w:val="28"/>
          <w:szCs w:val="28"/>
        </w:rPr>
      </w:pPr>
    </w:p>
    <w:p w14:paraId="20A1674D" w14:textId="77777777" w:rsidR="000B7759" w:rsidRDefault="000B7759" w:rsidP="000B7759">
      <w:pPr>
        <w:jc w:val="right"/>
        <w:rPr>
          <w:rFonts w:ascii="Times New Roman" w:hAnsi="Times New Roman" w:cs="Times New Roman"/>
          <w:b/>
          <w:sz w:val="28"/>
          <w:szCs w:val="28"/>
        </w:rPr>
      </w:pPr>
    </w:p>
    <w:p w14:paraId="42440213" w14:textId="77777777" w:rsidR="00FA1F91" w:rsidRPr="00FA1F91" w:rsidRDefault="00FA1F91" w:rsidP="00FA1F91">
      <w:pPr>
        <w:jc w:val="right"/>
        <w:rPr>
          <w:b/>
          <w:sz w:val="24"/>
          <w:szCs w:val="24"/>
        </w:rPr>
      </w:pPr>
      <w:r w:rsidRPr="00FA1F91">
        <w:rPr>
          <w:b/>
          <w:sz w:val="24"/>
          <w:szCs w:val="24"/>
        </w:rPr>
        <w:t>“A-Group Insurance Company” OJSC</w:t>
      </w:r>
    </w:p>
    <w:p w14:paraId="1BC5B371" w14:textId="77777777" w:rsidR="00FA1F91" w:rsidRDefault="00FA1F91" w:rsidP="00FA1F91">
      <w:pPr>
        <w:jc w:val="right"/>
        <w:rPr>
          <w:sz w:val="24"/>
          <w:szCs w:val="24"/>
        </w:rPr>
      </w:pPr>
    </w:p>
    <w:p w14:paraId="46106DCA" w14:textId="2A29AC5A" w:rsidR="00FA1F91" w:rsidRPr="00FA1F91" w:rsidRDefault="00FA1F91" w:rsidP="00FA1F91">
      <w:pPr>
        <w:jc w:val="right"/>
        <w:rPr>
          <w:sz w:val="24"/>
          <w:szCs w:val="24"/>
        </w:rPr>
      </w:pPr>
      <w:r w:rsidRPr="00FA1F91">
        <w:rPr>
          <w:sz w:val="24"/>
          <w:szCs w:val="24"/>
        </w:rPr>
        <w:t xml:space="preserve">Financial Statements </w:t>
      </w:r>
    </w:p>
    <w:p w14:paraId="7F50C4E2" w14:textId="77777777" w:rsidR="00FA1F91" w:rsidRPr="00FA1F91" w:rsidRDefault="00FA1F91" w:rsidP="00FA1F91">
      <w:pPr>
        <w:pStyle w:val="Caption"/>
        <w:jc w:val="right"/>
        <w:rPr>
          <w:rFonts w:ascii="Trebuchet MS" w:hAnsi="Trebuchet MS"/>
          <w:i/>
          <w:iCs/>
          <w:szCs w:val="24"/>
        </w:rPr>
      </w:pPr>
      <w:r w:rsidRPr="00FA1F91">
        <w:rPr>
          <w:rFonts w:ascii="Trebuchet MS" w:hAnsi="Trebuchet MS"/>
          <w:i/>
          <w:szCs w:val="24"/>
        </w:rPr>
        <w:t xml:space="preserve">for the </w:t>
      </w:r>
      <w:r w:rsidRPr="00FA1F91">
        <w:rPr>
          <w:rFonts w:ascii="Trebuchet MS" w:hAnsi="Trebuchet MS"/>
          <w:i/>
          <w:szCs w:val="24"/>
          <w:lang w:val="en-US"/>
        </w:rPr>
        <w:t>Y</w:t>
      </w:r>
      <w:r w:rsidRPr="00FA1F91">
        <w:rPr>
          <w:rFonts w:ascii="Trebuchet MS" w:hAnsi="Trebuchet MS"/>
          <w:i/>
          <w:szCs w:val="24"/>
        </w:rPr>
        <w:t>ear ended 31 December 2019</w:t>
      </w:r>
    </w:p>
    <w:p w14:paraId="589DFE86" w14:textId="77777777" w:rsidR="00FA1F91" w:rsidRPr="00E60700" w:rsidRDefault="00FA1F91" w:rsidP="00FA1F91">
      <w:pPr>
        <w:jc w:val="right"/>
        <w:rPr>
          <w:iCs/>
        </w:rPr>
      </w:pPr>
      <w:r w:rsidRPr="00FA1F91">
        <w:rPr>
          <w:i/>
          <w:iCs/>
          <w:sz w:val="24"/>
          <w:szCs w:val="24"/>
        </w:rPr>
        <w:t>and Independent Auditor's Report</w:t>
      </w:r>
    </w:p>
    <w:p w14:paraId="6B04B050" w14:textId="47A84BFE" w:rsidR="000B7759" w:rsidRPr="000B7759" w:rsidRDefault="000B7759" w:rsidP="000B7759">
      <w:pPr>
        <w:jc w:val="right"/>
        <w:rPr>
          <w:rFonts w:ascii="Times New Roman" w:hAnsi="Times New Roman" w:cs="Times New Roman"/>
          <w:b/>
          <w:sz w:val="28"/>
          <w:szCs w:val="28"/>
        </w:rPr>
      </w:pPr>
    </w:p>
    <w:p w14:paraId="2DECE7DF" w14:textId="77777777" w:rsidR="000B7759" w:rsidRPr="000B7759" w:rsidRDefault="000B7759" w:rsidP="000B7759">
      <w:pPr>
        <w:jc w:val="right"/>
        <w:rPr>
          <w:rFonts w:ascii="Times New Roman" w:hAnsi="Times New Roman" w:cs="Times New Roman"/>
          <w:sz w:val="28"/>
          <w:szCs w:val="28"/>
        </w:rPr>
      </w:pPr>
    </w:p>
    <w:p w14:paraId="25F72302" w14:textId="1E7837C3" w:rsidR="00C52A93" w:rsidRDefault="00C52A93" w:rsidP="000B7759">
      <w:pPr>
        <w:rPr>
          <w:rFonts w:ascii="Times New Roman" w:hAnsi="Times New Roman" w:cs="Times New Roman"/>
          <w:sz w:val="22"/>
        </w:rPr>
      </w:pPr>
    </w:p>
    <w:p w14:paraId="050005F7" w14:textId="6CF18B33" w:rsidR="00FA1F91" w:rsidRDefault="00FA1F91" w:rsidP="000B7759">
      <w:pPr>
        <w:rPr>
          <w:rFonts w:ascii="Times New Roman" w:hAnsi="Times New Roman" w:cs="Times New Roman"/>
          <w:sz w:val="22"/>
        </w:rPr>
      </w:pPr>
    </w:p>
    <w:p w14:paraId="097625C2" w14:textId="14932B44" w:rsidR="00FA1F91" w:rsidRDefault="00FA1F91" w:rsidP="000B7759">
      <w:pPr>
        <w:rPr>
          <w:rFonts w:ascii="Times New Roman" w:hAnsi="Times New Roman" w:cs="Times New Roman"/>
          <w:sz w:val="22"/>
        </w:rPr>
      </w:pPr>
    </w:p>
    <w:p w14:paraId="653A9CE0" w14:textId="77777777" w:rsidR="00FA1F91" w:rsidRDefault="00FA1F91" w:rsidP="000B7759">
      <w:pPr>
        <w:rPr>
          <w:rFonts w:ascii="Times New Roman" w:hAnsi="Times New Roman" w:cs="Times New Roman"/>
          <w:sz w:val="22"/>
        </w:rPr>
        <w:sectPr w:rsidR="00FA1F91" w:rsidSect="00AC5A38">
          <w:pgSz w:w="11906" w:h="16838" w:code="9"/>
          <w:pgMar w:top="1440" w:right="1440" w:bottom="1440" w:left="1701" w:header="709" w:footer="709" w:gutter="0"/>
          <w:cols w:space="708"/>
          <w:docGrid w:linePitch="360"/>
        </w:sectPr>
      </w:pPr>
    </w:p>
    <w:sdt>
      <w:sdtPr>
        <w:rPr>
          <w:rFonts w:ascii="Trebuchet MS" w:eastAsiaTheme="minorHAnsi" w:hAnsi="Trebuchet MS" w:cstheme="minorBidi"/>
          <w:color w:val="auto"/>
          <w:sz w:val="20"/>
          <w:szCs w:val="22"/>
          <w:lang w:val="en-GB"/>
        </w:rPr>
        <w:id w:val="-2007051317"/>
        <w:docPartObj>
          <w:docPartGallery w:val="Table of Contents"/>
          <w:docPartUnique/>
        </w:docPartObj>
      </w:sdtPr>
      <w:sdtEndPr>
        <w:rPr>
          <w:b/>
          <w:bCs/>
          <w:noProof/>
        </w:rPr>
      </w:sdtEndPr>
      <w:sdtContent>
        <w:p w14:paraId="3A428177" w14:textId="4E1913DA" w:rsidR="00F63461" w:rsidRDefault="00F63461">
          <w:pPr>
            <w:pStyle w:val="TOCHeading"/>
            <w:rPr>
              <w:rFonts w:ascii="Trebuchet MS" w:hAnsi="Trebuchet MS"/>
              <w:sz w:val="18"/>
              <w:szCs w:val="18"/>
            </w:rPr>
          </w:pPr>
          <w:r w:rsidRPr="00F63461">
            <w:rPr>
              <w:rFonts w:ascii="Trebuchet MS" w:hAnsi="Trebuchet MS"/>
              <w:sz w:val="18"/>
              <w:szCs w:val="18"/>
            </w:rPr>
            <w:t>Contents</w:t>
          </w:r>
        </w:p>
        <w:p w14:paraId="331B60DF" w14:textId="77777777" w:rsidR="00F63461" w:rsidRPr="00F63461" w:rsidRDefault="00F63461" w:rsidP="00F63461">
          <w:pPr>
            <w:rPr>
              <w:lang w:val="en-US"/>
            </w:rPr>
          </w:pPr>
        </w:p>
        <w:p w14:paraId="4A10820A" w14:textId="16723C80" w:rsidR="0095394E" w:rsidRDefault="00F63461">
          <w:pPr>
            <w:pStyle w:val="TOC1"/>
            <w:tabs>
              <w:tab w:val="right" w:leader="dot" w:pos="8755"/>
            </w:tabs>
            <w:rPr>
              <w:rFonts w:asciiTheme="minorHAnsi" w:eastAsiaTheme="minorEastAsia" w:hAnsiTheme="minorHAnsi"/>
              <w:noProof/>
              <w:lang w:eastAsia="en-GB"/>
            </w:rPr>
          </w:pPr>
          <w:r w:rsidRPr="00F63461">
            <w:rPr>
              <w:rFonts w:ascii="Trebuchet MS" w:hAnsi="Trebuchet MS"/>
              <w:sz w:val="18"/>
              <w:szCs w:val="18"/>
            </w:rPr>
            <w:fldChar w:fldCharType="begin"/>
          </w:r>
          <w:r w:rsidRPr="00F63461">
            <w:rPr>
              <w:rFonts w:ascii="Trebuchet MS" w:hAnsi="Trebuchet MS"/>
              <w:sz w:val="18"/>
              <w:szCs w:val="18"/>
            </w:rPr>
            <w:instrText xml:space="preserve"> TOC \o "1-3" \h \z \u </w:instrText>
          </w:r>
          <w:r w:rsidRPr="00F63461">
            <w:rPr>
              <w:rFonts w:ascii="Trebuchet MS" w:hAnsi="Trebuchet MS"/>
              <w:sz w:val="18"/>
              <w:szCs w:val="18"/>
            </w:rPr>
            <w:fldChar w:fldCharType="separate"/>
          </w:r>
          <w:hyperlink w:anchor="_Toc57894885" w:history="1">
            <w:r w:rsidR="0095394E" w:rsidRPr="00205D19">
              <w:rPr>
                <w:rStyle w:val="Hyperlink"/>
                <w:rFonts w:ascii="Trebuchet MS" w:hAnsi="Trebuchet MS" w:cs="Times New Roman"/>
                <w:b/>
                <w:bCs/>
                <w:noProof/>
              </w:rPr>
              <w:t>Independent auditor’s report</w:t>
            </w:r>
            <w:r w:rsidR="0095394E">
              <w:rPr>
                <w:noProof/>
                <w:webHidden/>
              </w:rPr>
              <w:tab/>
            </w:r>
            <w:r w:rsidR="0095394E">
              <w:rPr>
                <w:noProof/>
                <w:webHidden/>
              </w:rPr>
              <w:fldChar w:fldCharType="begin"/>
            </w:r>
            <w:r w:rsidR="0095394E">
              <w:rPr>
                <w:noProof/>
                <w:webHidden/>
              </w:rPr>
              <w:instrText xml:space="preserve"> PAGEREF _Toc57894885 \h </w:instrText>
            </w:r>
            <w:r w:rsidR="0095394E">
              <w:rPr>
                <w:noProof/>
                <w:webHidden/>
              </w:rPr>
            </w:r>
            <w:r w:rsidR="0095394E">
              <w:rPr>
                <w:noProof/>
                <w:webHidden/>
              </w:rPr>
              <w:fldChar w:fldCharType="separate"/>
            </w:r>
            <w:r w:rsidR="0095394E">
              <w:rPr>
                <w:noProof/>
                <w:webHidden/>
              </w:rPr>
              <w:t>3</w:t>
            </w:r>
            <w:r w:rsidR="0095394E">
              <w:rPr>
                <w:noProof/>
                <w:webHidden/>
              </w:rPr>
              <w:fldChar w:fldCharType="end"/>
            </w:r>
          </w:hyperlink>
        </w:p>
        <w:p w14:paraId="76599A53" w14:textId="55A258D4"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86" w:history="1">
            <w:r w:rsidRPr="00205D19">
              <w:rPr>
                <w:rStyle w:val="Hyperlink"/>
                <w:b/>
                <w:bCs/>
                <w:noProof/>
                <w:lang w:val="en-US"/>
              </w:rPr>
              <w:t>1.</w:t>
            </w:r>
            <w:r>
              <w:rPr>
                <w:rFonts w:asciiTheme="minorHAnsi" w:eastAsiaTheme="minorEastAsia" w:hAnsiTheme="minorHAnsi"/>
                <w:noProof/>
                <w:lang w:eastAsia="en-GB"/>
              </w:rPr>
              <w:tab/>
            </w:r>
            <w:r w:rsidRPr="00205D19">
              <w:rPr>
                <w:rStyle w:val="Hyperlink"/>
                <w:b/>
                <w:bCs/>
                <w:noProof/>
                <w:lang w:val="en-US"/>
              </w:rPr>
              <w:t>Principal activities of the Company</w:t>
            </w:r>
            <w:r>
              <w:rPr>
                <w:noProof/>
                <w:webHidden/>
              </w:rPr>
              <w:tab/>
            </w:r>
            <w:r>
              <w:rPr>
                <w:noProof/>
                <w:webHidden/>
              </w:rPr>
              <w:fldChar w:fldCharType="begin"/>
            </w:r>
            <w:r>
              <w:rPr>
                <w:noProof/>
                <w:webHidden/>
              </w:rPr>
              <w:instrText xml:space="preserve"> PAGEREF _Toc57894886 \h </w:instrText>
            </w:r>
            <w:r>
              <w:rPr>
                <w:noProof/>
                <w:webHidden/>
              </w:rPr>
            </w:r>
            <w:r>
              <w:rPr>
                <w:noProof/>
                <w:webHidden/>
              </w:rPr>
              <w:fldChar w:fldCharType="separate"/>
            </w:r>
            <w:r>
              <w:rPr>
                <w:noProof/>
                <w:webHidden/>
              </w:rPr>
              <w:t>9</w:t>
            </w:r>
            <w:r>
              <w:rPr>
                <w:noProof/>
                <w:webHidden/>
              </w:rPr>
              <w:fldChar w:fldCharType="end"/>
            </w:r>
          </w:hyperlink>
        </w:p>
        <w:p w14:paraId="66825ED5" w14:textId="4C043B01"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87" w:history="1">
            <w:r w:rsidRPr="00205D19">
              <w:rPr>
                <w:rStyle w:val="Hyperlink"/>
                <w:b/>
                <w:bCs/>
                <w:noProof/>
                <w:lang w:val="en-US"/>
              </w:rPr>
              <w:t>2.</w:t>
            </w:r>
            <w:r>
              <w:rPr>
                <w:rFonts w:asciiTheme="minorHAnsi" w:eastAsiaTheme="minorEastAsia" w:hAnsiTheme="minorHAnsi"/>
                <w:noProof/>
                <w:lang w:eastAsia="en-GB"/>
              </w:rPr>
              <w:tab/>
            </w:r>
            <w:r w:rsidRPr="00205D19">
              <w:rPr>
                <w:rStyle w:val="Hyperlink"/>
                <w:b/>
                <w:bCs/>
                <w:noProof/>
                <w:lang w:val="en-US"/>
              </w:rPr>
              <w:t>Operating environment of the Company</w:t>
            </w:r>
            <w:r>
              <w:rPr>
                <w:noProof/>
                <w:webHidden/>
              </w:rPr>
              <w:tab/>
            </w:r>
            <w:r>
              <w:rPr>
                <w:noProof/>
                <w:webHidden/>
              </w:rPr>
              <w:fldChar w:fldCharType="begin"/>
            </w:r>
            <w:r>
              <w:rPr>
                <w:noProof/>
                <w:webHidden/>
              </w:rPr>
              <w:instrText xml:space="preserve"> PAGEREF _Toc57894887 \h </w:instrText>
            </w:r>
            <w:r>
              <w:rPr>
                <w:noProof/>
                <w:webHidden/>
              </w:rPr>
            </w:r>
            <w:r>
              <w:rPr>
                <w:noProof/>
                <w:webHidden/>
              </w:rPr>
              <w:fldChar w:fldCharType="separate"/>
            </w:r>
            <w:r>
              <w:rPr>
                <w:noProof/>
                <w:webHidden/>
              </w:rPr>
              <w:t>9</w:t>
            </w:r>
            <w:r>
              <w:rPr>
                <w:noProof/>
                <w:webHidden/>
              </w:rPr>
              <w:fldChar w:fldCharType="end"/>
            </w:r>
          </w:hyperlink>
        </w:p>
        <w:p w14:paraId="327CF4CF" w14:textId="6C41A6AC"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88" w:history="1">
            <w:r w:rsidRPr="00205D19">
              <w:rPr>
                <w:rStyle w:val="Hyperlink"/>
                <w:b/>
                <w:bCs/>
                <w:noProof/>
                <w:lang w:val="en-US"/>
              </w:rPr>
              <w:t>3.</w:t>
            </w:r>
            <w:r>
              <w:rPr>
                <w:rFonts w:asciiTheme="minorHAnsi" w:eastAsiaTheme="minorEastAsia" w:hAnsiTheme="minorHAnsi"/>
                <w:noProof/>
                <w:lang w:eastAsia="en-GB"/>
              </w:rPr>
              <w:tab/>
            </w:r>
            <w:r w:rsidRPr="00205D19">
              <w:rPr>
                <w:rStyle w:val="Hyperlink"/>
                <w:b/>
                <w:bCs/>
                <w:noProof/>
                <w:lang w:val="en-US"/>
              </w:rPr>
              <w:t>Basis of presentation</w:t>
            </w:r>
            <w:r>
              <w:rPr>
                <w:noProof/>
                <w:webHidden/>
              </w:rPr>
              <w:tab/>
            </w:r>
            <w:r>
              <w:rPr>
                <w:noProof/>
                <w:webHidden/>
              </w:rPr>
              <w:fldChar w:fldCharType="begin"/>
            </w:r>
            <w:r>
              <w:rPr>
                <w:noProof/>
                <w:webHidden/>
              </w:rPr>
              <w:instrText xml:space="preserve"> PAGEREF _Toc57894888 \h </w:instrText>
            </w:r>
            <w:r>
              <w:rPr>
                <w:noProof/>
                <w:webHidden/>
              </w:rPr>
            </w:r>
            <w:r>
              <w:rPr>
                <w:noProof/>
                <w:webHidden/>
              </w:rPr>
              <w:fldChar w:fldCharType="separate"/>
            </w:r>
            <w:r>
              <w:rPr>
                <w:noProof/>
                <w:webHidden/>
              </w:rPr>
              <w:t>10</w:t>
            </w:r>
            <w:r>
              <w:rPr>
                <w:noProof/>
                <w:webHidden/>
              </w:rPr>
              <w:fldChar w:fldCharType="end"/>
            </w:r>
          </w:hyperlink>
        </w:p>
        <w:p w14:paraId="7EC88475" w14:textId="09B8EF93"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89" w:history="1">
            <w:r w:rsidRPr="00205D19">
              <w:rPr>
                <w:rStyle w:val="Hyperlink"/>
                <w:b/>
                <w:bCs/>
                <w:noProof/>
                <w:lang w:val="en-US"/>
              </w:rPr>
              <w:t>4.</w:t>
            </w:r>
            <w:r>
              <w:rPr>
                <w:rFonts w:asciiTheme="minorHAnsi" w:eastAsiaTheme="minorEastAsia" w:hAnsiTheme="minorHAnsi"/>
                <w:noProof/>
                <w:lang w:eastAsia="en-GB"/>
              </w:rPr>
              <w:tab/>
            </w:r>
            <w:r w:rsidRPr="00205D19">
              <w:rPr>
                <w:rStyle w:val="Hyperlink"/>
                <w:b/>
                <w:bCs/>
                <w:noProof/>
                <w:lang w:val="en-US"/>
              </w:rPr>
              <w:t>Summary of significant accounting policies</w:t>
            </w:r>
            <w:r>
              <w:rPr>
                <w:noProof/>
                <w:webHidden/>
              </w:rPr>
              <w:tab/>
            </w:r>
            <w:r>
              <w:rPr>
                <w:noProof/>
                <w:webHidden/>
              </w:rPr>
              <w:fldChar w:fldCharType="begin"/>
            </w:r>
            <w:r>
              <w:rPr>
                <w:noProof/>
                <w:webHidden/>
              </w:rPr>
              <w:instrText xml:space="preserve"> PAGEREF _Toc57894889 \h </w:instrText>
            </w:r>
            <w:r>
              <w:rPr>
                <w:noProof/>
                <w:webHidden/>
              </w:rPr>
            </w:r>
            <w:r>
              <w:rPr>
                <w:noProof/>
                <w:webHidden/>
              </w:rPr>
              <w:fldChar w:fldCharType="separate"/>
            </w:r>
            <w:r>
              <w:rPr>
                <w:noProof/>
                <w:webHidden/>
              </w:rPr>
              <w:t>14</w:t>
            </w:r>
            <w:r>
              <w:rPr>
                <w:noProof/>
                <w:webHidden/>
              </w:rPr>
              <w:fldChar w:fldCharType="end"/>
            </w:r>
          </w:hyperlink>
        </w:p>
        <w:p w14:paraId="6D8E85D8" w14:textId="6738AA63"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90" w:history="1">
            <w:r w:rsidRPr="00205D19">
              <w:rPr>
                <w:rStyle w:val="Hyperlink"/>
                <w:b/>
                <w:bCs/>
                <w:noProof/>
                <w:lang w:val="en-US"/>
              </w:rPr>
              <w:t>5.</w:t>
            </w:r>
            <w:r>
              <w:rPr>
                <w:rFonts w:asciiTheme="minorHAnsi" w:eastAsiaTheme="minorEastAsia" w:hAnsiTheme="minorHAnsi"/>
                <w:noProof/>
                <w:lang w:eastAsia="en-GB"/>
              </w:rPr>
              <w:tab/>
            </w:r>
            <w:r w:rsidRPr="00205D19">
              <w:rPr>
                <w:rStyle w:val="Hyperlink"/>
                <w:b/>
                <w:bCs/>
                <w:noProof/>
                <w:lang w:val="en-US"/>
              </w:rPr>
              <w:t>Critical Accounting Estimates and Judgments</w:t>
            </w:r>
            <w:r>
              <w:rPr>
                <w:noProof/>
                <w:webHidden/>
              </w:rPr>
              <w:tab/>
            </w:r>
            <w:r>
              <w:rPr>
                <w:noProof/>
                <w:webHidden/>
              </w:rPr>
              <w:fldChar w:fldCharType="begin"/>
            </w:r>
            <w:r>
              <w:rPr>
                <w:noProof/>
                <w:webHidden/>
              </w:rPr>
              <w:instrText xml:space="preserve"> PAGEREF _Toc57894890 \h </w:instrText>
            </w:r>
            <w:r>
              <w:rPr>
                <w:noProof/>
                <w:webHidden/>
              </w:rPr>
            </w:r>
            <w:r>
              <w:rPr>
                <w:noProof/>
                <w:webHidden/>
              </w:rPr>
              <w:fldChar w:fldCharType="separate"/>
            </w:r>
            <w:r>
              <w:rPr>
                <w:noProof/>
                <w:webHidden/>
              </w:rPr>
              <w:t>21</w:t>
            </w:r>
            <w:r>
              <w:rPr>
                <w:noProof/>
                <w:webHidden/>
              </w:rPr>
              <w:fldChar w:fldCharType="end"/>
            </w:r>
          </w:hyperlink>
        </w:p>
        <w:p w14:paraId="0FB1ADBA" w14:textId="462B338B"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91" w:history="1">
            <w:r w:rsidRPr="00205D19">
              <w:rPr>
                <w:rStyle w:val="Hyperlink"/>
                <w:b/>
                <w:bCs/>
                <w:noProof/>
                <w:lang w:val="en-US"/>
              </w:rPr>
              <w:t>6.</w:t>
            </w:r>
            <w:r>
              <w:rPr>
                <w:rFonts w:asciiTheme="minorHAnsi" w:eastAsiaTheme="minorEastAsia" w:hAnsiTheme="minorHAnsi"/>
                <w:noProof/>
                <w:lang w:eastAsia="en-GB"/>
              </w:rPr>
              <w:tab/>
            </w:r>
            <w:r w:rsidRPr="00205D19">
              <w:rPr>
                <w:rStyle w:val="Hyperlink"/>
                <w:b/>
                <w:bCs/>
                <w:noProof/>
                <w:lang w:val="en-US"/>
              </w:rPr>
              <w:t>Cash and bank accounts</w:t>
            </w:r>
            <w:r>
              <w:rPr>
                <w:noProof/>
                <w:webHidden/>
              </w:rPr>
              <w:tab/>
            </w:r>
            <w:r>
              <w:rPr>
                <w:noProof/>
                <w:webHidden/>
              </w:rPr>
              <w:fldChar w:fldCharType="begin"/>
            </w:r>
            <w:r>
              <w:rPr>
                <w:noProof/>
                <w:webHidden/>
              </w:rPr>
              <w:instrText xml:space="preserve"> PAGEREF _Toc57894891 \h </w:instrText>
            </w:r>
            <w:r>
              <w:rPr>
                <w:noProof/>
                <w:webHidden/>
              </w:rPr>
            </w:r>
            <w:r>
              <w:rPr>
                <w:noProof/>
                <w:webHidden/>
              </w:rPr>
              <w:fldChar w:fldCharType="separate"/>
            </w:r>
            <w:r>
              <w:rPr>
                <w:noProof/>
                <w:webHidden/>
              </w:rPr>
              <w:t>22</w:t>
            </w:r>
            <w:r>
              <w:rPr>
                <w:noProof/>
                <w:webHidden/>
              </w:rPr>
              <w:fldChar w:fldCharType="end"/>
            </w:r>
          </w:hyperlink>
        </w:p>
        <w:p w14:paraId="2E626E98" w14:textId="7515043E"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92" w:history="1">
            <w:r w:rsidRPr="00205D19">
              <w:rPr>
                <w:rStyle w:val="Hyperlink"/>
                <w:b/>
                <w:bCs/>
                <w:noProof/>
                <w:lang w:val="en-US"/>
              </w:rPr>
              <w:t>7.</w:t>
            </w:r>
            <w:r>
              <w:rPr>
                <w:rFonts w:asciiTheme="minorHAnsi" w:eastAsiaTheme="minorEastAsia" w:hAnsiTheme="minorHAnsi"/>
                <w:noProof/>
                <w:lang w:eastAsia="en-GB"/>
              </w:rPr>
              <w:tab/>
            </w:r>
            <w:r w:rsidRPr="00205D19">
              <w:rPr>
                <w:rStyle w:val="Hyperlink"/>
                <w:b/>
                <w:bCs/>
                <w:noProof/>
                <w:lang w:val="en-US"/>
              </w:rPr>
              <w:t>Deposits with banks</w:t>
            </w:r>
            <w:r>
              <w:rPr>
                <w:noProof/>
                <w:webHidden/>
              </w:rPr>
              <w:tab/>
            </w:r>
            <w:r>
              <w:rPr>
                <w:noProof/>
                <w:webHidden/>
              </w:rPr>
              <w:fldChar w:fldCharType="begin"/>
            </w:r>
            <w:r>
              <w:rPr>
                <w:noProof/>
                <w:webHidden/>
              </w:rPr>
              <w:instrText xml:space="preserve"> PAGEREF _Toc57894892 \h </w:instrText>
            </w:r>
            <w:r>
              <w:rPr>
                <w:noProof/>
                <w:webHidden/>
              </w:rPr>
            </w:r>
            <w:r>
              <w:rPr>
                <w:noProof/>
                <w:webHidden/>
              </w:rPr>
              <w:fldChar w:fldCharType="separate"/>
            </w:r>
            <w:r>
              <w:rPr>
                <w:noProof/>
                <w:webHidden/>
              </w:rPr>
              <w:t>23</w:t>
            </w:r>
            <w:r>
              <w:rPr>
                <w:noProof/>
                <w:webHidden/>
              </w:rPr>
              <w:fldChar w:fldCharType="end"/>
            </w:r>
          </w:hyperlink>
        </w:p>
        <w:p w14:paraId="113995A3" w14:textId="5078BDA3"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93" w:history="1">
            <w:r w:rsidRPr="00205D19">
              <w:rPr>
                <w:rStyle w:val="Hyperlink"/>
                <w:b/>
                <w:bCs/>
                <w:noProof/>
                <w:lang w:val="en-US"/>
              </w:rPr>
              <w:t>8.</w:t>
            </w:r>
            <w:r>
              <w:rPr>
                <w:rFonts w:asciiTheme="minorHAnsi" w:eastAsiaTheme="minorEastAsia" w:hAnsiTheme="minorHAnsi"/>
                <w:noProof/>
                <w:lang w:eastAsia="en-GB"/>
              </w:rPr>
              <w:tab/>
            </w:r>
            <w:r w:rsidRPr="00205D19">
              <w:rPr>
                <w:rStyle w:val="Hyperlink"/>
                <w:b/>
                <w:bCs/>
                <w:noProof/>
                <w:lang w:val="en-US"/>
              </w:rPr>
              <w:t>Receivables</w:t>
            </w:r>
            <w:r>
              <w:rPr>
                <w:noProof/>
                <w:webHidden/>
              </w:rPr>
              <w:tab/>
            </w:r>
            <w:r>
              <w:rPr>
                <w:noProof/>
                <w:webHidden/>
              </w:rPr>
              <w:fldChar w:fldCharType="begin"/>
            </w:r>
            <w:r>
              <w:rPr>
                <w:noProof/>
                <w:webHidden/>
              </w:rPr>
              <w:instrText xml:space="preserve"> PAGEREF _Toc57894893 \h </w:instrText>
            </w:r>
            <w:r>
              <w:rPr>
                <w:noProof/>
                <w:webHidden/>
              </w:rPr>
            </w:r>
            <w:r>
              <w:rPr>
                <w:noProof/>
                <w:webHidden/>
              </w:rPr>
              <w:fldChar w:fldCharType="separate"/>
            </w:r>
            <w:r>
              <w:rPr>
                <w:noProof/>
                <w:webHidden/>
              </w:rPr>
              <w:t>23</w:t>
            </w:r>
            <w:r>
              <w:rPr>
                <w:noProof/>
                <w:webHidden/>
              </w:rPr>
              <w:fldChar w:fldCharType="end"/>
            </w:r>
          </w:hyperlink>
        </w:p>
        <w:p w14:paraId="692E4E93" w14:textId="7D1BD8EB" w:rsidR="0095394E" w:rsidRDefault="0095394E">
          <w:pPr>
            <w:pStyle w:val="TOC1"/>
            <w:tabs>
              <w:tab w:val="left" w:pos="440"/>
              <w:tab w:val="right" w:leader="dot" w:pos="8755"/>
            </w:tabs>
            <w:rPr>
              <w:rFonts w:asciiTheme="minorHAnsi" w:eastAsiaTheme="minorEastAsia" w:hAnsiTheme="minorHAnsi"/>
              <w:noProof/>
              <w:lang w:eastAsia="en-GB"/>
            </w:rPr>
          </w:pPr>
          <w:hyperlink w:anchor="_Toc57894894" w:history="1">
            <w:r w:rsidRPr="00205D19">
              <w:rPr>
                <w:rStyle w:val="Hyperlink"/>
                <w:b/>
                <w:bCs/>
                <w:noProof/>
                <w:lang w:val="en-US"/>
              </w:rPr>
              <w:t>9.</w:t>
            </w:r>
            <w:r>
              <w:rPr>
                <w:rFonts w:asciiTheme="minorHAnsi" w:eastAsiaTheme="minorEastAsia" w:hAnsiTheme="minorHAnsi"/>
                <w:noProof/>
                <w:lang w:eastAsia="en-GB"/>
              </w:rPr>
              <w:tab/>
            </w:r>
            <w:r w:rsidRPr="00205D19">
              <w:rPr>
                <w:rStyle w:val="Hyperlink"/>
                <w:b/>
                <w:bCs/>
                <w:noProof/>
                <w:lang w:val="en-US"/>
              </w:rPr>
              <w:t>Reinsurance assets</w:t>
            </w:r>
            <w:r>
              <w:rPr>
                <w:noProof/>
                <w:webHidden/>
              </w:rPr>
              <w:tab/>
            </w:r>
            <w:r>
              <w:rPr>
                <w:noProof/>
                <w:webHidden/>
              </w:rPr>
              <w:fldChar w:fldCharType="begin"/>
            </w:r>
            <w:r>
              <w:rPr>
                <w:noProof/>
                <w:webHidden/>
              </w:rPr>
              <w:instrText xml:space="preserve"> PAGEREF _Toc57894894 \h </w:instrText>
            </w:r>
            <w:r>
              <w:rPr>
                <w:noProof/>
                <w:webHidden/>
              </w:rPr>
            </w:r>
            <w:r>
              <w:rPr>
                <w:noProof/>
                <w:webHidden/>
              </w:rPr>
              <w:fldChar w:fldCharType="separate"/>
            </w:r>
            <w:r>
              <w:rPr>
                <w:noProof/>
                <w:webHidden/>
              </w:rPr>
              <w:t>23</w:t>
            </w:r>
            <w:r>
              <w:rPr>
                <w:noProof/>
                <w:webHidden/>
              </w:rPr>
              <w:fldChar w:fldCharType="end"/>
            </w:r>
          </w:hyperlink>
        </w:p>
        <w:p w14:paraId="30895EBB" w14:textId="2AF852EF"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895" w:history="1">
            <w:r w:rsidRPr="00205D19">
              <w:rPr>
                <w:rStyle w:val="Hyperlink"/>
                <w:b/>
                <w:bCs/>
                <w:noProof/>
                <w:lang w:val="en-US"/>
              </w:rPr>
              <w:t>10.</w:t>
            </w:r>
            <w:r>
              <w:rPr>
                <w:rFonts w:asciiTheme="minorHAnsi" w:eastAsiaTheme="minorEastAsia" w:hAnsiTheme="minorHAnsi"/>
                <w:noProof/>
                <w:lang w:eastAsia="en-GB"/>
              </w:rPr>
              <w:tab/>
            </w:r>
            <w:r w:rsidRPr="00205D19">
              <w:rPr>
                <w:rStyle w:val="Hyperlink"/>
                <w:b/>
                <w:bCs/>
                <w:noProof/>
                <w:lang w:val="en-US"/>
              </w:rPr>
              <w:t>Deferred acquisition costs</w:t>
            </w:r>
            <w:r>
              <w:rPr>
                <w:noProof/>
                <w:webHidden/>
              </w:rPr>
              <w:tab/>
            </w:r>
            <w:r>
              <w:rPr>
                <w:noProof/>
                <w:webHidden/>
              </w:rPr>
              <w:fldChar w:fldCharType="begin"/>
            </w:r>
            <w:r>
              <w:rPr>
                <w:noProof/>
                <w:webHidden/>
              </w:rPr>
              <w:instrText xml:space="preserve"> PAGEREF _Toc57894895 \h </w:instrText>
            </w:r>
            <w:r>
              <w:rPr>
                <w:noProof/>
                <w:webHidden/>
              </w:rPr>
            </w:r>
            <w:r>
              <w:rPr>
                <w:noProof/>
                <w:webHidden/>
              </w:rPr>
              <w:fldChar w:fldCharType="separate"/>
            </w:r>
            <w:r>
              <w:rPr>
                <w:noProof/>
                <w:webHidden/>
              </w:rPr>
              <w:t>23</w:t>
            </w:r>
            <w:r>
              <w:rPr>
                <w:noProof/>
                <w:webHidden/>
              </w:rPr>
              <w:fldChar w:fldCharType="end"/>
            </w:r>
          </w:hyperlink>
        </w:p>
        <w:p w14:paraId="2103F30B" w14:textId="3633BF3E"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896" w:history="1">
            <w:r w:rsidRPr="00205D19">
              <w:rPr>
                <w:rStyle w:val="Hyperlink"/>
                <w:b/>
                <w:bCs/>
                <w:noProof/>
                <w:lang w:val="en-US"/>
              </w:rPr>
              <w:t>11.</w:t>
            </w:r>
            <w:r>
              <w:rPr>
                <w:rFonts w:asciiTheme="minorHAnsi" w:eastAsiaTheme="minorEastAsia" w:hAnsiTheme="minorHAnsi"/>
                <w:noProof/>
                <w:lang w:eastAsia="en-GB"/>
              </w:rPr>
              <w:tab/>
            </w:r>
            <w:r w:rsidRPr="00205D19">
              <w:rPr>
                <w:rStyle w:val="Hyperlink"/>
                <w:b/>
                <w:bCs/>
                <w:noProof/>
                <w:lang w:val="en-US"/>
              </w:rPr>
              <w:t>Property and equipment</w:t>
            </w:r>
            <w:r>
              <w:rPr>
                <w:noProof/>
                <w:webHidden/>
              </w:rPr>
              <w:tab/>
            </w:r>
            <w:r>
              <w:rPr>
                <w:noProof/>
                <w:webHidden/>
              </w:rPr>
              <w:fldChar w:fldCharType="begin"/>
            </w:r>
            <w:r>
              <w:rPr>
                <w:noProof/>
                <w:webHidden/>
              </w:rPr>
              <w:instrText xml:space="preserve"> PAGEREF _Toc57894896 \h </w:instrText>
            </w:r>
            <w:r>
              <w:rPr>
                <w:noProof/>
                <w:webHidden/>
              </w:rPr>
            </w:r>
            <w:r>
              <w:rPr>
                <w:noProof/>
                <w:webHidden/>
              </w:rPr>
              <w:fldChar w:fldCharType="separate"/>
            </w:r>
            <w:r>
              <w:rPr>
                <w:noProof/>
                <w:webHidden/>
              </w:rPr>
              <w:t>24</w:t>
            </w:r>
            <w:r>
              <w:rPr>
                <w:noProof/>
                <w:webHidden/>
              </w:rPr>
              <w:fldChar w:fldCharType="end"/>
            </w:r>
          </w:hyperlink>
        </w:p>
        <w:p w14:paraId="2F8FAEEF" w14:textId="3BF217B8"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897" w:history="1">
            <w:r w:rsidRPr="00205D19">
              <w:rPr>
                <w:rStyle w:val="Hyperlink"/>
                <w:b/>
                <w:bCs/>
                <w:noProof/>
              </w:rPr>
              <w:t>12.</w:t>
            </w:r>
            <w:r>
              <w:rPr>
                <w:rFonts w:asciiTheme="minorHAnsi" w:eastAsiaTheme="minorEastAsia" w:hAnsiTheme="minorHAnsi"/>
                <w:noProof/>
                <w:lang w:eastAsia="en-GB"/>
              </w:rPr>
              <w:tab/>
            </w:r>
            <w:r w:rsidRPr="00205D19">
              <w:rPr>
                <w:rStyle w:val="Hyperlink"/>
                <w:b/>
                <w:bCs/>
                <w:noProof/>
              </w:rPr>
              <w:t>Intangible assets</w:t>
            </w:r>
            <w:r>
              <w:rPr>
                <w:noProof/>
                <w:webHidden/>
              </w:rPr>
              <w:tab/>
            </w:r>
            <w:r>
              <w:rPr>
                <w:noProof/>
                <w:webHidden/>
              </w:rPr>
              <w:fldChar w:fldCharType="begin"/>
            </w:r>
            <w:r>
              <w:rPr>
                <w:noProof/>
                <w:webHidden/>
              </w:rPr>
              <w:instrText xml:space="preserve"> PAGEREF _Toc57894897 \h </w:instrText>
            </w:r>
            <w:r>
              <w:rPr>
                <w:noProof/>
                <w:webHidden/>
              </w:rPr>
            </w:r>
            <w:r>
              <w:rPr>
                <w:noProof/>
                <w:webHidden/>
              </w:rPr>
              <w:fldChar w:fldCharType="separate"/>
            </w:r>
            <w:r>
              <w:rPr>
                <w:noProof/>
                <w:webHidden/>
              </w:rPr>
              <w:t>25</w:t>
            </w:r>
            <w:r>
              <w:rPr>
                <w:noProof/>
                <w:webHidden/>
              </w:rPr>
              <w:fldChar w:fldCharType="end"/>
            </w:r>
          </w:hyperlink>
        </w:p>
        <w:p w14:paraId="3636DAAB" w14:textId="164EDA83"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898" w:history="1">
            <w:r w:rsidRPr="00205D19">
              <w:rPr>
                <w:rStyle w:val="Hyperlink"/>
                <w:b/>
                <w:bCs/>
                <w:noProof/>
                <w:lang w:val="en-US"/>
              </w:rPr>
              <w:t>13.</w:t>
            </w:r>
            <w:r>
              <w:rPr>
                <w:rFonts w:asciiTheme="minorHAnsi" w:eastAsiaTheme="minorEastAsia" w:hAnsiTheme="minorHAnsi"/>
                <w:noProof/>
                <w:lang w:eastAsia="en-GB"/>
              </w:rPr>
              <w:tab/>
            </w:r>
            <w:r w:rsidRPr="00205D19">
              <w:rPr>
                <w:rStyle w:val="Hyperlink"/>
                <w:b/>
                <w:bCs/>
                <w:noProof/>
                <w:lang w:val="en-US"/>
              </w:rPr>
              <w:t>Investment property</w:t>
            </w:r>
            <w:r>
              <w:rPr>
                <w:noProof/>
                <w:webHidden/>
              </w:rPr>
              <w:tab/>
            </w:r>
            <w:r>
              <w:rPr>
                <w:noProof/>
                <w:webHidden/>
              </w:rPr>
              <w:fldChar w:fldCharType="begin"/>
            </w:r>
            <w:r>
              <w:rPr>
                <w:noProof/>
                <w:webHidden/>
              </w:rPr>
              <w:instrText xml:space="preserve"> PAGEREF _Toc57894898 \h </w:instrText>
            </w:r>
            <w:r>
              <w:rPr>
                <w:noProof/>
                <w:webHidden/>
              </w:rPr>
            </w:r>
            <w:r>
              <w:rPr>
                <w:noProof/>
                <w:webHidden/>
              </w:rPr>
              <w:fldChar w:fldCharType="separate"/>
            </w:r>
            <w:r>
              <w:rPr>
                <w:noProof/>
                <w:webHidden/>
              </w:rPr>
              <w:t>25</w:t>
            </w:r>
            <w:r>
              <w:rPr>
                <w:noProof/>
                <w:webHidden/>
              </w:rPr>
              <w:fldChar w:fldCharType="end"/>
            </w:r>
          </w:hyperlink>
        </w:p>
        <w:p w14:paraId="716FB5C6" w14:textId="501F738B"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899" w:history="1">
            <w:r w:rsidRPr="00205D19">
              <w:rPr>
                <w:rStyle w:val="Hyperlink"/>
                <w:b/>
                <w:bCs/>
                <w:noProof/>
                <w:lang w:val="en-US"/>
              </w:rPr>
              <w:t>14.</w:t>
            </w:r>
            <w:r>
              <w:rPr>
                <w:rFonts w:asciiTheme="minorHAnsi" w:eastAsiaTheme="minorEastAsia" w:hAnsiTheme="minorHAnsi"/>
                <w:noProof/>
                <w:lang w:eastAsia="en-GB"/>
              </w:rPr>
              <w:tab/>
            </w:r>
            <w:r w:rsidRPr="00205D19">
              <w:rPr>
                <w:rStyle w:val="Hyperlink"/>
                <w:b/>
                <w:bCs/>
                <w:noProof/>
                <w:lang w:val="en-US"/>
              </w:rPr>
              <w:t>Right-of-use assets</w:t>
            </w:r>
            <w:r>
              <w:rPr>
                <w:noProof/>
                <w:webHidden/>
              </w:rPr>
              <w:tab/>
            </w:r>
            <w:r>
              <w:rPr>
                <w:noProof/>
                <w:webHidden/>
              </w:rPr>
              <w:fldChar w:fldCharType="begin"/>
            </w:r>
            <w:r>
              <w:rPr>
                <w:noProof/>
                <w:webHidden/>
              </w:rPr>
              <w:instrText xml:space="preserve"> PAGEREF _Toc57894899 \h </w:instrText>
            </w:r>
            <w:r>
              <w:rPr>
                <w:noProof/>
                <w:webHidden/>
              </w:rPr>
            </w:r>
            <w:r>
              <w:rPr>
                <w:noProof/>
                <w:webHidden/>
              </w:rPr>
              <w:fldChar w:fldCharType="separate"/>
            </w:r>
            <w:r>
              <w:rPr>
                <w:noProof/>
                <w:webHidden/>
              </w:rPr>
              <w:t>26</w:t>
            </w:r>
            <w:r>
              <w:rPr>
                <w:noProof/>
                <w:webHidden/>
              </w:rPr>
              <w:fldChar w:fldCharType="end"/>
            </w:r>
          </w:hyperlink>
        </w:p>
        <w:p w14:paraId="659D5D18" w14:textId="4C882515"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0" w:history="1">
            <w:r w:rsidRPr="00205D19">
              <w:rPr>
                <w:rStyle w:val="Hyperlink"/>
                <w:b/>
                <w:bCs/>
                <w:noProof/>
                <w:lang w:val="en-US"/>
              </w:rPr>
              <w:t>15.</w:t>
            </w:r>
            <w:r>
              <w:rPr>
                <w:rFonts w:asciiTheme="minorHAnsi" w:eastAsiaTheme="minorEastAsia" w:hAnsiTheme="minorHAnsi"/>
                <w:noProof/>
                <w:lang w:eastAsia="en-GB"/>
              </w:rPr>
              <w:tab/>
            </w:r>
            <w:r w:rsidRPr="00205D19">
              <w:rPr>
                <w:rStyle w:val="Hyperlink"/>
                <w:b/>
                <w:bCs/>
                <w:noProof/>
                <w:lang w:val="en-US"/>
              </w:rPr>
              <w:t>Deferred tax</w:t>
            </w:r>
            <w:r>
              <w:rPr>
                <w:noProof/>
                <w:webHidden/>
              </w:rPr>
              <w:tab/>
            </w:r>
            <w:r>
              <w:rPr>
                <w:noProof/>
                <w:webHidden/>
              </w:rPr>
              <w:fldChar w:fldCharType="begin"/>
            </w:r>
            <w:r>
              <w:rPr>
                <w:noProof/>
                <w:webHidden/>
              </w:rPr>
              <w:instrText xml:space="preserve"> PAGEREF _Toc57894900 \h </w:instrText>
            </w:r>
            <w:r>
              <w:rPr>
                <w:noProof/>
                <w:webHidden/>
              </w:rPr>
            </w:r>
            <w:r>
              <w:rPr>
                <w:noProof/>
                <w:webHidden/>
              </w:rPr>
              <w:fldChar w:fldCharType="separate"/>
            </w:r>
            <w:r>
              <w:rPr>
                <w:noProof/>
                <w:webHidden/>
              </w:rPr>
              <w:t>26</w:t>
            </w:r>
            <w:r>
              <w:rPr>
                <w:noProof/>
                <w:webHidden/>
              </w:rPr>
              <w:fldChar w:fldCharType="end"/>
            </w:r>
          </w:hyperlink>
        </w:p>
        <w:p w14:paraId="61095EC6" w14:textId="3E1BAE75"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1" w:history="1">
            <w:r w:rsidRPr="00205D19">
              <w:rPr>
                <w:rStyle w:val="Hyperlink"/>
                <w:b/>
                <w:bCs/>
                <w:noProof/>
                <w:lang w:val="en-US"/>
              </w:rPr>
              <w:t>16.</w:t>
            </w:r>
            <w:r>
              <w:rPr>
                <w:rFonts w:asciiTheme="minorHAnsi" w:eastAsiaTheme="minorEastAsia" w:hAnsiTheme="minorHAnsi"/>
                <w:noProof/>
                <w:lang w:eastAsia="en-GB"/>
              </w:rPr>
              <w:tab/>
            </w:r>
            <w:r w:rsidRPr="00205D19">
              <w:rPr>
                <w:rStyle w:val="Hyperlink"/>
                <w:b/>
                <w:bCs/>
                <w:noProof/>
                <w:lang w:val="en-US"/>
              </w:rPr>
              <w:t>Other assets</w:t>
            </w:r>
            <w:r>
              <w:rPr>
                <w:noProof/>
                <w:webHidden/>
              </w:rPr>
              <w:tab/>
            </w:r>
            <w:r>
              <w:rPr>
                <w:noProof/>
                <w:webHidden/>
              </w:rPr>
              <w:fldChar w:fldCharType="begin"/>
            </w:r>
            <w:r>
              <w:rPr>
                <w:noProof/>
                <w:webHidden/>
              </w:rPr>
              <w:instrText xml:space="preserve"> PAGEREF _Toc57894901 \h </w:instrText>
            </w:r>
            <w:r>
              <w:rPr>
                <w:noProof/>
                <w:webHidden/>
              </w:rPr>
            </w:r>
            <w:r>
              <w:rPr>
                <w:noProof/>
                <w:webHidden/>
              </w:rPr>
              <w:fldChar w:fldCharType="separate"/>
            </w:r>
            <w:r>
              <w:rPr>
                <w:noProof/>
                <w:webHidden/>
              </w:rPr>
              <w:t>27</w:t>
            </w:r>
            <w:r>
              <w:rPr>
                <w:noProof/>
                <w:webHidden/>
              </w:rPr>
              <w:fldChar w:fldCharType="end"/>
            </w:r>
          </w:hyperlink>
        </w:p>
        <w:p w14:paraId="3F85B1D7" w14:textId="2225F131"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2" w:history="1">
            <w:r w:rsidRPr="00205D19">
              <w:rPr>
                <w:rStyle w:val="Hyperlink"/>
                <w:b/>
                <w:bCs/>
                <w:noProof/>
                <w:lang w:val="en-US"/>
              </w:rPr>
              <w:t>17.</w:t>
            </w:r>
            <w:r>
              <w:rPr>
                <w:rFonts w:asciiTheme="minorHAnsi" w:eastAsiaTheme="minorEastAsia" w:hAnsiTheme="minorHAnsi"/>
                <w:noProof/>
                <w:lang w:eastAsia="en-GB"/>
              </w:rPr>
              <w:tab/>
            </w:r>
            <w:r w:rsidRPr="00205D19">
              <w:rPr>
                <w:rStyle w:val="Hyperlink"/>
                <w:b/>
                <w:bCs/>
                <w:noProof/>
                <w:lang w:val="en-US"/>
              </w:rPr>
              <w:t>Provision for unearned premiums</w:t>
            </w:r>
            <w:r>
              <w:rPr>
                <w:noProof/>
                <w:webHidden/>
              </w:rPr>
              <w:tab/>
            </w:r>
            <w:r>
              <w:rPr>
                <w:noProof/>
                <w:webHidden/>
              </w:rPr>
              <w:fldChar w:fldCharType="begin"/>
            </w:r>
            <w:r>
              <w:rPr>
                <w:noProof/>
                <w:webHidden/>
              </w:rPr>
              <w:instrText xml:space="preserve"> PAGEREF _Toc57894902 \h </w:instrText>
            </w:r>
            <w:r>
              <w:rPr>
                <w:noProof/>
                <w:webHidden/>
              </w:rPr>
            </w:r>
            <w:r>
              <w:rPr>
                <w:noProof/>
                <w:webHidden/>
              </w:rPr>
              <w:fldChar w:fldCharType="separate"/>
            </w:r>
            <w:r>
              <w:rPr>
                <w:noProof/>
                <w:webHidden/>
              </w:rPr>
              <w:t>27</w:t>
            </w:r>
            <w:r>
              <w:rPr>
                <w:noProof/>
                <w:webHidden/>
              </w:rPr>
              <w:fldChar w:fldCharType="end"/>
            </w:r>
          </w:hyperlink>
        </w:p>
        <w:p w14:paraId="07044BC4" w14:textId="1E954B14"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3" w:history="1">
            <w:r w:rsidRPr="00205D19">
              <w:rPr>
                <w:rStyle w:val="Hyperlink"/>
                <w:b/>
                <w:bCs/>
                <w:noProof/>
              </w:rPr>
              <w:t>18.</w:t>
            </w:r>
            <w:r>
              <w:rPr>
                <w:rFonts w:asciiTheme="minorHAnsi" w:eastAsiaTheme="minorEastAsia" w:hAnsiTheme="minorHAnsi"/>
                <w:noProof/>
                <w:lang w:eastAsia="en-GB"/>
              </w:rPr>
              <w:tab/>
            </w:r>
            <w:r w:rsidRPr="00205D19">
              <w:rPr>
                <w:rStyle w:val="Hyperlink"/>
                <w:b/>
                <w:bCs/>
                <w:noProof/>
              </w:rPr>
              <w:t>Provision for claims</w:t>
            </w:r>
            <w:r>
              <w:rPr>
                <w:noProof/>
                <w:webHidden/>
              </w:rPr>
              <w:tab/>
            </w:r>
            <w:r>
              <w:rPr>
                <w:noProof/>
                <w:webHidden/>
              </w:rPr>
              <w:fldChar w:fldCharType="begin"/>
            </w:r>
            <w:r>
              <w:rPr>
                <w:noProof/>
                <w:webHidden/>
              </w:rPr>
              <w:instrText xml:space="preserve"> PAGEREF _Toc57894903 \h </w:instrText>
            </w:r>
            <w:r>
              <w:rPr>
                <w:noProof/>
                <w:webHidden/>
              </w:rPr>
            </w:r>
            <w:r>
              <w:rPr>
                <w:noProof/>
                <w:webHidden/>
              </w:rPr>
              <w:fldChar w:fldCharType="separate"/>
            </w:r>
            <w:r>
              <w:rPr>
                <w:noProof/>
                <w:webHidden/>
              </w:rPr>
              <w:t>28</w:t>
            </w:r>
            <w:r>
              <w:rPr>
                <w:noProof/>
                <w:webHidden/>
              </w:rPr>
              <w:fldChar w:fldCharType="end"/>
            </w:r>
          </w:hyperlink>
        </w:p>
        <w:p w14:paraId="4ADB5CB1" w14:textId="25E4B4EE"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4" w:history="1">
            <w:r w:rsidRPr="00205D19">
              <w:rPr>
                <w:rStyle w:val="Hyperlink"/>
                <w:b/>
                <w:bCs/>
                <w:noProof/>
              </w:rPr>
              <w:t>19.</w:t>
            </w:r>
            <w:r>
              <w:rPr>
                <w:rFonts w:asciiTheme="minorHAnsi" w:eastAsiaTheme="minorEastAsia" w:hAnsiTheme="minorHAnsi"/>
                <w:noProof/>
                <w:lang w:eastAsia="en-GB"/>
              </w:rPr>
              <w:tab/>
            </w:r>
            <w:r w:rsidRPr="00205D19">
              <w:rPr>
                <w:rStyle w:val="Hyperlink"/>
                <w:b/>
                <w:bCs/>
                <w:noProof/>
              </w:rPr>
              <w:t>Payables</w:t>
            </w:r>
            <w:r>
              <w:rPr>
                <w:noProof/>
                <w:webHidden/>
              </w:rPr>
              <w:tab/>
            </w:r>
            <w:r>
              <w:rPr>
                <w:noProof/>
                <w:webHidden/>
              </w:rPr>
              <w:fldChar w:fldCharType="begin"/>
            </w:r>
            <w:r>
              <w:rPr>
                <w:noProof/>
                <w:webHidden/>
              </w:rPr>
              <w:instrText xml:space="preserve"> PAGEREF _Toc57894904 \h </w:instrText>
            </w:r>
            <w:r>
              <w:rPr>
                <w:noProof/>
                <w:webHidden/>
              </w:rPr>
            </w:r>
            <w:r>
              <w:rPr>
                <w:noProof/>
                <w:webHidden/>
              </w:rPr>
              <w:fldChar w:fldCharType="separate"/>
            </w:r>
            <w:r>
              <w:rPr>
                <w:noProof/>
                <w:webHidden/>
              </w:rPr>
              <w:t>28</w:t>
            </w:r>
            <w:r>
              <w:rPr>
                <w:noProof/>
                <w:webHidden/>
              </w:rPr>
              <w:fldChar w:fldCharType="end"/>
            </w:r>
          </w:hyperlink>
        </w:p>
        <w:p w14:paraId="5C7FDEDF" w14:textId="3273B242"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5" w:history="1">
            <w:r w:rsidRPr="00205D19">
              <w:rPr>
                <w:rStyle w:val="Hyperlink"/>
                <w:b/>
                <w:bCs/>
                <w:noProof/>
              </w:rPr>
              <w:t>20.</w:t>
            </w:r>
            <w:r>
              <w:rPr>
                <w:rFonts w:asciiTheme="minorHAnsi" w:eastAsiaTheme="minorEastAsia" w:hAnsiTheme="minorHAnsi"/>
                <w:noProof/>
                <w:lang w:eastAsia="en-GB"/>
              </w:rPr>
              <w:tab/>
            </w:r>
            <w:r w:rsidRPr="00205D19">
              <w:rPr>
                <w:rStyle w:val="Hyperlink"/>
                <w:b/>
                <w:bCs/>
                <w:noProof/>
              </w:rPr>
              <w:t>Deferred commission income</w:t>
            </w:r>
            <w:r>
              <w:rPr>
                <w:noProof/>
                <w:webHidden/>
              </w:rPr>
              <w:tab/>
            </w:r>
            <w:r>
              <w:rPr>
                <w:noProof/>
                <w:webHidden/>
              </w:rPr>
              <w:fldChar w:fldCharType="begin"/>
            </w:r>
            <w:r>
              <w:rPr>
                <w:noProof/>
                <w:webHidden/>
              </w:rPr>
              <w:instrText xml:space="preserve"> PAGEREF _Toc57894905 \h </w:instrText>
            </w:r>
            <w:r>
              <w:rPr>
                <w:noProof/>
                <w:webHidden/>
              </w:rPr>
            </w:r>
            <w:r>
              <w:rPr>
                <w:noProof/>
                <w:webHidden/>
              </w:rPr>
              <w:fldChar w:fldCharType="separate"/>
            </w:r>
            <w:r>
              <w:rPr>
                <w:noProof/>
                <w:webHidden/>
              </w:rPr>
              <w:t>28</w:t>
            </w:r>
            <w:r>
              <w:rPr>
                <w:noProof/>
                <w:webHidden/>
              </w:rPr>
              <w:fldChar w:fldCharType="end"/>
            </w:r>
          </w:hyperlink>
        </w:p>
        <w:p w14:paraId="3095F26B" w14:textId="0D209900"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6" w:history="1">
            <w:r w:rsidRPr="00205D19">
              <w:rPr>
                <w:rStyle w:val="Hyperlink"/>
                <w:b/>
                <w:bCs/>
                <w:noProof/>
              </w:rPr>
              <w:t>21.</w:t>
            </w:r>
            <w:r>
              <w:rPr>
                <w:rFonts w:asciiTheme="minorHAnsi" w:eastAsiaTheme="minorEastAsia" w:hAnsiTheme="minorHAnsi"/>
                <w:noProof/>
                <w:lang w:eastAsia="en-GB"/>
              </w:rPr>
              <w:tab/>
            </w:r>
            <w:r w:rsidRPr="00205D19">
              <w:rPr>
                <w:rStyle w:val="Hyperlink"/>
                <w:b/>
                <w:bCs/>
                <w:noProof/>
              </w:rPr>
              <w:t>Other liabilities</w:t>
            </w:r>
            <w:r>
              <w:rPr>
                <w:noProof/>
                <w:webHidden/>
              </w:rPr>
              <w:tab/>
            </w:r>
            <w:r>
              <w:rPr>
                <w:noProof/>
                <w:webHidden/>
              </w:rPr>
              <w:fldChar w:fldCharType="begin"/>
            </w:r>
            <w:r>
              <w:rPr>
                <w:noProof/>
                <w:webHidden/>
              </w:rPr>
              <w:instrText xml:space="preserve"> PAGEREF _Toc57894906 \h </w:instrText>
            </w:r>
            <w:r>
              <w:rPr>
                <w:noProof/>
                <w:webHidden/>
              </w:rPr>
            </w:r>
            <w:r>
              <w:rPr>
                <w:noProof/>
                <w:webHidden/>
              </w:rPr>
              <w:fldChar w:fldCharType="separate"/>
            </w:r>
            <w:r>
              <w:rPr>
                <w:noProof/>
                <w:webHidden/>
              </w:rPr>
              <w:t>28</w:t>
            </w:r>
            <w:r>
              <w:rPr>
                <w:noProof/>
                <w:webHidden/>
              </w:rPr>
              <w:fldChar w:fldCharType="end"/>
            </w:r>
          </w:hyperlink>
        </w:p>
        <w:p w14:paraId="0381D1CF" w14:textId="38C7FCEF"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7" w:history="1">
            <w:r w:rsidRPr="00205D19">
              <w:rPr>
                <w:rStyle w:val="Hyperlink"/>
                <w:b/>
                <w:bCs/>
                <w:noProof/>
              </w:rPr>
              <w:t>22.</w:t>
            </w:r>
            <w:r>
              <w:rPr>
                <w:rFonts w:asciiTheme="minorHAnsi" w:eastAsiaTheme="minorEastAsia" w:hAnsiTheme="minorHAnsi"/>
                <w:noProof/>
                <w:lang w:eastAsia="en-GB"/>
              </w:rPr>
              <w:tab/>
            </w:r>
            <w:r w:rsidRPr="00205D19">
              <w:rPr>
                <w:rStyle w:val="Hyperlink"/>
                <w:b/>
                <w:bCs/>
                <w:noProof/>
              </w:rPr>
              <w:t>Share capital and revaluation reserve</w:t>
            </w:r>
            <w:r>
              <w:rPr>
                <w:noProof/>
                <w:webHidden/>
              </w:rPr>
              <w:tab/>
            </w:r>
            <w:r>
              <w:rPr>
                <w:noProof/>
                <w:webHidden/>
              </w:rPr>
              <w:fldChar w:fldCharType="begin"/>
            </w:r>
            <w:r>
              <w:rPr>
                <w:noProof/>
                <w:webHidden/>
              </w:rPr>
              <w:instrText xml:space="preserve"> PAGEREF _Toc57894907 \h </w:instrText>
            </w:r>
            <w:r>
              <w:rPr>
                <w:noProof/>
                <w:webHidden/>
              </w:rPr>
            </w:r>
            <w:r>
              <w:rPr>
                <w:noProof/>
                <w:webHidden/>
              </w:rPr>
              <w:fldChar w:fldCharType="separate"/>
            </w:r>
            <w:r>
              <w:rPr>
                <w:noProof/>
                <w:webHidden/>
              </w:rPr>
              <w:t>29</w:t>
            </w:r>
            <w:r>
              <w:rPr>
                <w:noProof/>
                <w:webHidden/>
              </w:rPr>
              <w:fldChar w:fldCharType="end"/>
            </w:r>
          </w:hyperlink>
        </w:p>
        <w:p w14:paraId="265AAAFF" w14:textId="00B78E17"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8" w:history="1">
            <w:r w:rsidRPr="00205D19">
              <w:rPr>
                <w:rStyle w:val="Hyperlink"/>
                <w:b/>
                <w:bCs/>
                <w:noProof/>
                <w:lang w:val="en-US"/>
              </w:rPr>
              <w:t>23.</w:t>
            </w:r>
            <w:r>
              <w:rPr>
                <w:rFonts w:asciiTheme="minorHAnsi" w:eastAsiaTheme="minorEastAsia" w:hAnsiTheme="minorHAnsi"/>
                <w:noProof/>
                <w:lang w:eastAsia="en-GB"/>
              </w:rPr>
              <w:tab/>
            </w:r>
            <w:r w:rsidRPr="00205D19">
              <w:rPr>
                <w:rStyle w:val="Hyperlink"/>
                <w:b/>
                <w:bCs/>
                <w:noProof/>
                <w:lang w:val="en-US"/>
              </w:rPr>
              <w:t>Premiums and claims analysis</w:t>
            </w:r>
            <w:r>
              <w:rPr>
                <w:noProof/>
                <w:webHidden/>
              </w:rPr>
              <w:tab/>
            </w:r>
            <w:r>
              <w:rPr>
                <w:noProof/>
                <w:webHidden/>
              </w:rPr>
              <w:fldChar w:fldCharType="begin"/>
            </w:r>
            <w:r>
              <w:rPr>
                <w:noProof/>
                <w:webHidden/>
              </w:rPr>
              <w:instrText xml:space="preserve"> PAGEREF _Toc57894908 \h </w:instrText>
            </w:r>
            <w:r>
              <w:rPr>
                <w:noProof/>
                <w:webHidden/>
              </w:rPr>
            </w:r>
            <w:r>
              <w:rPr>
                <w:noProof/>
                <w:webHidden/>
              </w:rPr>
              <w:fldChar w:fldCharType="separate"/>
            </w:r>
            <w:r>
              <w:rPr>
                <w:noProof/>
                <w:webHidden/>
              </w:rPr>
              <w:t>30</w:t>
            </w:r>
            <w:r>
              <w:rPr>
                <w:noProof/>
                <w:webHidden/>
              </w:rPr>
              <w:fldChar w:fldCharType="end"/>
            </w:r>
          </w:hyperlink>
        </w:p>
        <w:p w14:paraId="7F5EC655" w14:textId="0C2F2C8C"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09" w:history="1">
            <w:r w:rsidRPr="00205D19">
              <w:rPr>
                <w:rStyle w:val="Hyperlink"/>
                <w:b/>
                <w:bCs/>
                <w:noProof/>
              </w:rPr>
              <w:t>24.</w:t>
            </w:r>
            <w:r>
              <w:rPr>
                <w:rFonts w:asciiTheme="minorHAnsi" w:eastAsiaTheme="minorEastAsia" w:hAnsiTheme="minorHAnsi"/>
                <w:noProof/>
                <w:lang w:eastAsia="en-GB"/>
              </w:rPr>
              <w:tab/>
            </w:r>
            <w:r w:rsidRPr="00205D19">
              <w:rPr>
                <w:rStyle w:val="Hyperlink"/>
                <w:b/>
                <w:bCs/>
                <w:noProof/>
              </w:rPr>
              <w:t>Net acquisition cost</w:t>
            </w:r>
            <w:r>
              <w:rPr>
                <w:noProof/>
                <w:webHidden/>
              </w:rPr>
              <w:tab/>
            </w:r>
            <w:r>
              <w:rPr>
                <w:noProof/>
                <w:webHidden/>
              </w:rPr>
              <w:fldChar w:fldCharType="begin"/>
            </w:r>
            <w:r>
              <w:rPr>
                <w:noProof/>
                <w:webHidden/>
              </w:rPr>
              <w:instrText xml:space="preserve"> PAGEREF _Toc57894909 \h </w:instrText>
            </w:r>
            <w:r>
              <w:rPr>
                <w:noProof/>
                <w:webHidden/>
              </w:rPr>
            </w:r>
            <w:r>
              <w:rPr>
                <w:noProof/>
                <w:webHidden/>
              </w:rPr>
              <w:fldChar w:fldCharType="separate"/>
            </w:r>
            <w:r>
              <w:rPr>
                <w:noProof/>
                <w:webHidden/>
              </w:rPr>
              <w:t>32</w:t>
            </w:r>
            <w:r>
              <w:rPr>
                <w:noProof/>
                <w:webHidden/>
              </w:rPr>
              <w:fldChar w:fldCharType="end"/>
            </w:r>
          </w:hyperlink>
        </w:p>
        <w:p w14:paraId="71EBB8F1" w14:textId="095152E5"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0" w:history="1">
            <w:r w:rsidRPr="00205D19">
              <w:rPr>
                <w:rStyle w:val="Hyperlink"/>
                <w:b/>
                <w:bCs/>
                <w:noProof/>
              </w:rPr>
              <w:t>25.</w:t>
            </w:r>
            <w:r>
              <w:rPr>
                <w:rFonts w:asciiTheme="minorHAnsi" w:eastAsiaTheme="minorEastAsia" w:hAnsiTheme="minorHAnsi"/>
                <w:noProof/>
                <w:lang w:eastAsia="en-GB"/>
              </w:rPr>
              <w:tab/>
            </w:r>
            <w:r w:rsidRPr="00205D19">
              <w:rPr>
                <w:rStyle w:val="Hyperlink"/>
                <w:b/>
                <w:bCs/>
                <w:noProof/>
              </w:rPr>
              <w:t>Operating expenses</w:t>
            </w:r>
            <w:r>
              <w:rPr>
                <w:noProof/>
                <w:webHidden/>
              </w:rPr>
              <w:tab/>
            </w:r>
            <w:r>
              <w:rPr>
                <w:noProof/>
                <w:webHidden/>
              </w:rPr>
              <w:fldChar w:fldCharType="begin"/>
            </w:r>
            <w:r>
              <w:rPr>
                <w:noProof/>
                <w:webHidden/>
              </w:rPr>
              <w:instrText xml:space="preserve"> PAGEREF _Toc57894910 \h </w:instrText>
            </w:r>
            <w:r>
              <w:rPr>
                <w:noProof/>
                <w:webHidden/>
              </w:rPr>
            </w:r>
            <w:r>
              <w:rPr>
                <w:noProof/>
                <w:webHidden/>
              </w:rPr>
              <w:fldChar w:fldCharType="separate"/>
            </w:r>
            <w:r>
              <w:rPr>
                <w:noProof/>
                <w:webHidden/>
              </w:rPr>
              <w:t>32</w:t>
            </w:r>
            <w:r>
              <w:rPr>
                <w:noProof/>
                <w:webHidden/>
              </w:rPr>
              <w:fldChar w:fldCharType="end"/>
            </w:r>
          </w:hyperlink>
        </w:p>
        <w:p w14:paraId="7B22DE5F" w14:textId="16537361"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1" w:history="1">
            <w:r w:rsidRPr="00205D19">
              <w:rPr>
                <w:rStyle w:val="Hyperlink"/>
                <w:b/>
                <w:bCs/>
                <w:noProof/>
              </w:rPr>
              <w:t>26.</w:t>
            </w:r>
            <w:r>
              <w:rPr>
                <w:rFonts w:asciiTheme="minorHAnsi" w:eastAsiaTheme="minorEastAsia" w:hAnsiTheme="minorHAnsi"/>
                <w:noProof/>
                <w:lang w:eastAsia="en-GB"/>
              </w:rPr>
              <w:tab/>
            </w:r>
            <w:r w:rsidRPr="00205D19">
              <w:rPr>
                <w:rStyle w:val="Hyperlink"/>
                <w:b/>
                <w:bCs/>
                <w:noProof/>
              </w:rPr>
              <w:t>Interest income, net</w:t>
            </w:r>
            <w:r>
              <w:rPr>
                <w:noProof/>
                <w:webHidden/>
              </w:rPr>
              <w:tab/>
            </w:r>
            <w:r>
              <w:rPr>
                <w:noProof/>
                <w:webHidden/>
              </w:rPr>
              <w:fldChar w:fldCharType="begin"/>
            </w:r>
            <w:r>
              <w:rPr>
                <w:noProof/>
                <w:webHidden/>
              </w:rPr>
              <w:instrText xml:space="preserve"> PAGEREF _Toc57894911 \h </w:instrText>
            </w:r>
            <w:r>
              <w:rPr>
                <w:noProof/>
                <w:webHidden/>
              </w:rPr>
            </w:r>
            <w:r>
              <w:rPr>
                <w:noProof/>
                <w:webHidden/>
              </w:rPr>
              <w:fldChar w:fldCharType="separate"/>
            </w:r>
            <w:r>
              <w:rPr>
                <w:noProof/>
                <w:webHidden/>
              </w:rPr>
              <w:t>32</w:t>
            </w:r>
            <w:r>
              <w:rPr>
                <w:noProof/>
                <w:webHidden/>
              </w:rPr>
              <w:fldChar w:fldCharType="end"/>
            </w:r>
          </w:hyperlink>
        </w:p>
        <w:p w14:paraId="03B9E737" w14:textId="5002A71D"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2" w:history="1">
            <w:r w:rsidRPr="00205D19">
              <w:rPr>
                <w:rStyle w:val="Hyperlink"/>
                <w:b/>
                <w:bCs/>
                <w:noProof/>
              </w:rPr>
              <w:t>27.</w:t>
            </w:r>
            <w:r>
              <w:rPr>
                <w:rFonts w:asciiTheme="minorHAnsi" w:eastAsiaTheme="minorEastAsia" w:hAnsiTheme="minorHAnsi"/>
                <w:noProof/>
                <w:lang w:eastAsia="en-GB"/>
              </w:rPr>
              <w:tab/>
            </w:r>
            <w:r w:rsidRPr="00205D19">
              <w:rPr>
                <w:rStyle w:val="Hyperlink"/>
                <w:b/>
                <w:bCs/>
                <w:noProof/>
              </w:rPr>
              <w:t>Other income</w:t>
            </w:r>
            <w:r>
              <w:rPr>
                <w:noProof/>
                <w:webHidden/>
              </w:rPr>
              <w:tab/>
            </w:r>
            <w:r>
              <w:rPr>
                <w:noProof/>
                <w:webHidden/>
              </w:rPr>
              <w:fldChar w:fldCharType="begin"/>
            </w:r>
            <w:r>
              <w:rPr>
                <w:noProof/>
                <w:webHidden/>
              </w:rPr>
              <w:instrText xml:space="preserve"> PAGEREF _Toc57894912 \h </w:instrText>
            </w:r>
            <w:r>
              <w:rPr>
                <w:noProof/>
                <w:webHidden/>
              </w:rPr>
            </w:r>
            <w:r>
              <w:rPr>
                <w:noProof/>
                <w:webHidden/>
              </w:rPr>
              <w:fldChar w:fldCharType="separate"/>
            </w:r>
            <w:r>
              <w:rPr>
                <w:noProof/>
                <w:webHidden/>
              </w:rPr>
              <w:t>32</w:t>
            </w:r>
            <w:r>
              <w:rPr>
                <w:noProof/>
                <w:webHidden/>
              </w:rPr>
              <w:fldChar w:fldCharType="end"/>
            </w:r>
          </w:hyperlink>
        </w:p>
        <w:p w14:paraId="0DE7D079" w14:textId="3F7161C7"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3" w:history="1">
            <w:r w:rsidRPr="00205D19">
              <w:rPr>
                <w:rStyle w:val="Hyperlink"/>
                <w:b/>
                <w:bCs/>
                <w:noProof/>
              </w:rPr>
              <w:t>28.</w:t>
            </w:r>
            <w:r>
              <w:rPr>
                <w:rFonts w:asciiTheme="minorHAnsi" w:eastAsiaTheme="minorEastAsia" w:hAnsiTheme="minorHAnsi"/>
                <w:noProof/>
                <w:lang w:eastAsia="en-GB"/>
              </w:rPr>
              <w:tab/>
            </w:r>
            <w:r w:rsidRPr="00205D19">
              <w:rPr>
                <w:rStyle w:val="Hyperlink"/>
                <w:b/>
                <w:bCs/>
                <w:noProof/>
              </w:rPr>
              <w:t>Risk management</w:t>
            </w:r>
            <w:r>
              <w:rPr>
                <w:noProof/>
                <w:webHidden/>
              </w:rPr>
              <w:tab/>
            </w:r>
            <w:r>
              <w:rPr>
                <w:noProof/>
                <w:webHidden/>
              </w:rPr>
              <w:fldChar w:fldCharType="begin"/>
            </w:r>
            <w:r>
              <w:rPr>
                <w:noProof/>
                <w:webHidden/>
              </w:rPr>
              <w:instrText xml:space="preserve"> PAGEREF _Toc57894913 \h </w:instrText>
            </w:r>
            <w:r>
              <w:rPr>
                <w:noProof/>
                <w:webHidden/>
              </w:rPr>
            </w:r>
            <w:r>
              <w:rPr>
                <w:noProof/>
                <w:webHidden/>
              </w:rPr>
              <w:fldChar w:fldCharType="separate"/>
            </w:r>
            <w:r>
              <w:rPr>
                <w:noProof/>
                <w:webHidden/>
              </w:rPr>
              <w:t>33</w:t>
            </w:r>
            <w:r>
              <w:rPr>
                <w:noProof/>
                <w:webHidden/>
              </w:rPr>
              <w:fldChar w:fldCharType="end"/>
            </w:r>
          </w:hyperlink>
        </w:p>
        <w:p w14:paraId="11355ADF" w14:textId="1AE35D22"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4" w:history="1">
            <w:r w:rsidRPr="00205D19">
              <w:rPr>
                <w:rStyle w:val="Hyperlink"/>
                <w:b/>
                <w:bCs/>
                <w:noProof/>
              </w:rPr>
              <w:t>29.</w:t>
            </w:r>
            <w:r>
              <w:rPr>
                <w:rFonts w:asciiTheme="minorHAnsi" w:eastAsiaTheme="minorEastAsia" w:hAnsiTheme="minorHAnsi"/>
                <w:noProof/>
                <w:lang w:eastAsia="en-GB"/>
              </w:rPr>
              <w:tab/>
            </w:r>
            <w:r w:rsidRPr="00205D19">
              <w:rPr>
                <w:rStyle w:val="Hyperlink"/>
                <w:b/>
                <w:bCs/>
                <w:noProof/>
              </w:rPr>
              <w:t>Capital management</w:t>
            </w:r>
            <w:r>
              <w:rPr>
                <w:noProof/>
                <w:webHidden/>
              </w:rPr>
              <w:tab/>
            </w:r>
            <w:r>
              <w:rPr>
                <w:noProof/>
                <w:webHidden/>
              </w:rPr>
              <w:fldChar w:fldCharType="begin"/>
            </w:r>
            <w:r>
              <w:rPr>
                <w:noProof/>
                <w:webHidden/>
              </w:rPr>
              <w:instrText xml:space="preserve"> PAGEREF _Toc57894914 \h </w:instrText>
            </w:r>
            <w:r>
              <w:rPr>
                <w:noProof/>
                <w:webHidden/>
              </w:rPr>
            </w:r>
            <w:r>
              <w:rPr>
                <w:noProof/>
                <w:webHidden/>
              </w:rPr>
              <w:fldChar w:fldCharType="separate"/>
            </w:r>
            <w:r>
              <w:rPr>
                <w:noProof/>
                <w:webHidden/>
              </w:rPr>
              <w:t>37</w:t>
            </w:r>
            <w:r>
              <w:rPr>
                <w:noProof/>
                <w:webHidden/>
              </w:rPr>
              <w:fldChar w:fldCharType="end"/>
            </w:r>
          </w:hyperlink>
        </w:p>
        <w:p w14:paraId="46EBD73B" w14:textId="580CDF72"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5" w:history="1">
            <w:r w:rsidRPr="00205D19">
              <w:rPr>
                <w:rStyle w:val="Hyperlink"/>
                <w:b/>
                <w:bCs/>
                <w:noProof/>
              </w:rPr>
              <w:t>30.</w:t>
            </w:r>
            <w:r>
              <w:rPr>
                <w:rFonts w:asciiTheme="minorHAnsi" w:eastAsiaTheme="minorEastAsia" w:hAnsiTheme="minorHAnsi"/>
                <w:noProof/>
                <w:lang w:eastAsia="en-GB"/>
              </w:rPr>
              <w:tab/>
            </w:r>
            <w:r w:rsidRPr="00205D19">
              <w:rPr>
                <w:rStyle w:val="Hyperlink"/>
                <w:b/>
                <w:bCs/>
                <w:noProof/>
              </w:rPr>
              <w:t>Contingent liabilities</w:t>
            </w:r>
            <w:r>
              <w:rPr>
                <w:noProof/>
                <w:webHidden/>
              </w:rPr>
              <w:tab/>
            </w:r>
            <w:r>
              <w:rPr>
                <w:noProof/>
                <w:webHidden/>
              </w:rPr>
              <w:fldChar w:fldCharType="begin"/>
            </w:r>
            <w:r>
              <w:rPr>
                <w:noProof/>
                <w:webHidden/>
              </w:rPr>
              <w:instrText xml:space="preserve"> PAGEREF _Toc57894915 \h </w:instrText>
            </w:r>
            <w:r>
              <w:rPr>
                <w:noProof/>
                <w:webHidden/>
              </w:rPr>
            </w:r>
            <w:r>
              <w:rPr>
                <w:noProof/>
                <w:webHidden/>
              </w:rPr>
              <w:fldChar w:fldCharType="separate"/>
            </w:r>
            <w:r>
              <w:rPr>
                <w:noProof/>
                <w:webHidden/>
              </w:rPr>
              <w:t>38</w:t>
            </w:r>
            <w:r>
              <w:rPr>
                <w:noProof/>
                <w:webHidden/>
              </w:rPr>
              <w:fldChar w:fldCharType="end"/>
            </w:r>
          </w:hyperlink>
        </w:p>
        <w:p w14:paraId="60ACD171" w14:textId="23BA6BBD"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6" w:history="1">
            <w:r w:rsidRPr="00205D19">
              <w:rPr>
                <w:rStyle w:val="Hyperlink"/>
                <w:b/>
                <w:bCs/>
                <w:noProof/>
                <w:lang w:val="en-US"/>
              </w:rPr>
              <w:t>31.</w:t>
            </w:r>
            <w:r>
              <w:rPr>
                <w:rFonts w:asciiTheme="minorHAnsi" w:eastAsiaTheme="minorEastAsia" w:hAnsiTheme="minorHAnsi"/>
                <w:noProof/>
                <w:lang w:eastAsia="en-GB"/>
              </w:rPr>
              <w:tab/>
            </w:r>
            <w:r w:rsidRPr="00205D19">
              <w:rPr>
                <w:rStyle w:val="Hyperlink"/>
                <w:b/>
                <w:bCs/>
                <w:noProof/>
                <w:lang w:val="en-US"/>
              </w:rPr>
              <w:t>Fair value of financial instruments</w:t>
            </w:r>
            <w:r>
              <w:rPr>
                <w:noProof/>
                <w:webHidden/>
              </w:rPr>
              <w:tab/>
            </w:r>
            <w:r>
              <w:rPr>
                <w:noProof/>
                <w:webHidden/>
              </w:rPr>
              <w:fldChar w:fldCharType="begin"/>
            </w:r>
            <w:r>
              <w:rPr>
                <w:noProof/>
                <w:webHidden/>
              </w:rPr>
              <w:instrText xml:space="preserve"> PAGEREF _Toc57894916 \h </w:instrText>
            </w:r>
            <w:r>
              <w:rPr>
                <w:noProof/>
                <w:webHidden/>
              </w:rPr>
            </w:r>
            <w:r>
              <w:rPr>
                <w:noProof/>
                <w:webHidden/>
              </w:rPr>
              <w:fldChar w:fldCharType="separate"/>
            </w:r>
            <w:r>
              <w:rPr>
                <w:noProof/>
                <w:webHidden/>
              </w:rPr>
              <w:t>38</w:t>
            </w:r>
            <w:r>
              <w:rPr>
                <w:noProof/>
                <w:webHidden/>
              </w:rPr>
              <w:fldChar w:fldCharType="end"/>
            </w:r>
          </w:hyperlink>
        </w:p>
        <w:p w14:paraId="60EBC22D" w14:textId="311E2E9B"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7" w:history="1">
            <w:r w:rsidRPr="00205D19">
              <w:rPr>
                <w:rStyle w:val="Hyperlink"/>
                <w:b/>
                <w:bCs/>
                <w:noProof/>
              </w:rPr>
              <w:t>32.</w:t>
            </w:r>
            <w:r>
              <w:rPr>
                <w:rFonts w:asciiTheme="minorHAnsi" w:eastAsiaTheme="minorEastAsia" w:hAnsiTheme="minorHAnsi"/>
                <w:noProof/>
                <w:lang w:eastAsia="en-GB"/>
              </w:rPr>
              <w:tab/>
            </w:r>
            <w:r w:rsidRPr="00205D19">
              <w:rPr>
                <w:rStyle w:val="Hyperlink"/>
                <w:b/>
                <w:bCs/>
                <w:noProof/>
              </w:rPr>
              <w:t>Related party transactions</w:t>
            </w:r>
            <w:r>
              <w:rPr>
                <w:noProof/>
                <w:webHidden/>
              </w:rPr>
              <w:tab/>
            </w:r>
            <w:r>
              <w:rPr>
                <w:noProof/>
                <w:webHidden/>
              </w:rPr>
              <w:fldChar w:fldCharType="begin"/>
            </w:r>
            <w:r>
              <w:rPr>
                <w:noProof/>
                <w:webHidden/>
              </w:rPr>
              <w:instrText xml:space="preserve"> PAGEREF _Toc57894917 \h </w:instrText>
            </w:r>
            <w:r>
              <w:rPr>
                <w:noProof/>
                <w:webHidden/>
              </w:rPr>
            </w:r>
            <w:r>
              <w:rPr>
                <w:noProof/>
                <w:webHidden/>
              </w:rPr>
              <w:fldChar w:fldCharType="separate"/>
            </w:r>
            <w:r>
              <w:rPr>
                <w:noProof/>
                <w:webHidden/>
              </w:rPr>
              <w:t>38</w:t>
            </w:r>
            <w:r>
              <w:rPr>
                <w:noProof/>
                <w:webHidden/>
              </w:rPr>
              <w:fldChar w:fldCharType="end"/>
            </w:r>
          </w:hyperlink>
        </w:p>
        <w:p w14:paraId="4F85284A" w14:textId="486C7549" w:rsidR="0095394E" w:rsidRDefault="0095394E">
          <w:pPr>
            <w:pStyle w:val="TOC1"/>
            <w:tabs>
              <w:tab w:val="left" w:pos="600"/>
              <w:tab w:val="right" w:leader="dot" w:pos="8755"/>
            </w:tabs>
            <w:rPr>
              <w:rFonts w:asciiTheme="minorHAnsi" w:eastAsiaTheme="minorEastAsia" w:hAnsiTheme="minorHAnsi"/>
              <w:noProof/>
              <w:lang w:eastAsia="en-GB"/>
            </w:rPr>
          </w:pPr>
          <w:hyperlink w:anchor="_Toc57894918" w:history="1">
            <w:r w:rsidRPr="00205D19">
              <w:rPr>
                <w:rStyle w:val="Hyperlink"/>
                <w:b/>
                <w:bCs/>
                <w:noProof/>
              </w:rPr>
              <w:t>33.</w:t>
            </w:r>
            <w:r>
              <w:rPr>
                <w:rFonts w:asciiTheme="minorHAnsi" w:eastAsiaTheme="minorEastAsia" w:hAnsiTheme="minorHAnsi"/>
                <w:noProof/>
                <w:lang w:eastAsia="en-GB"/>
              </w:rPr>
              <w:tab/>
            </w:r>
            <w:r w:rsidRPr="00205D19">
              <w:rPr>
                <w:rStyle w:val="Hyperlink"/>
                <w:b/>
                <w:bCs/>
                <w:noProof/>
              </w:rPr>
              <w:t>Subsequent events</w:t>
            </w:r>
            <w:r>
              <w:rPr>
                <w:noProof/>
                <w:webHidden/>
              </w:rPr>
              <w:tab/>
            </w:r>
            <w:r>
              <w:rPr>
                <w:noProof/>
                <w:webHidden/>
              </w:rPr>
              <w:fldChar w:fldCharType="begin"/>
            </w:r>
            <w:r>
              <w:rPr>
                <w:noProof/>
                <w:webHidden/>
              </w:rPr>
              <w:instrText xml:space="preserve"> PAGEREF _Toc57894918 \h </w:instrText>
            </w:r>
            <w:r>
              <w:rPr>
                <w:noProof/>
                <w:webHidden/>
              </w:rPr>
            </w:r>
            <w:r>
              <w:rPr>
                <w:noProof/>
                <w:webHidden/>
              </w:rPr>
              <w:fldChar w:fldCharType="separate"/>
            </w:r>
            <w:r>
              <w:rPr>
                <w:noProof/>
                <w:webHidden/>
              </w:rPr>
              <w:t>39</w:t>
            </w:r>
            <w:r>
              <w:rPr>
                <w:noProof/>
                <w:webHidden/>
              </w:rPr>
              <w:fldChar w:fldCharType="end"/>
            </w:r>
          </w:hyperlink>
        </w:p>
        <w:p w14:paraId="246D7BE3" w14:textId="426786F5" w:rsidR="00F63461" w:rsidRDefault="00F63461">
          <w:r w:rsidRPr="00F63461">
            <w:rPr>
              <w:b/>
              <w:bCs/>
              <w:noProof/>
              <w:sz w:val="18"/>
              <w:szCs w:val="18"/>
            </w:rPr>
            <w:fldChar w:fldCharType="end"/>
          </w:r>
        </w:p>
      </w:sdtContent>
    </w:sdt>
    <w:p w14:paraId="021C1E39" w14:textId="3E111A32" w:rsidR="000B7759" w:rsidRPr="00F63461" w:rsidRDefault="000B7759" w:rsidP="000B7759">
      <w:pPr>
        <w:rPr>
          <w:rFonts w:ascii="Times New Roman" w:hAnsi="Times New Roman" w:cs="Times New Roman"/>
          <w:sz w:val="22"/>
          <w:lang w:val="ru-RU"/>
        </w:rPr>
      </w:pPr>
    </w:p>
    <w:p w14:paraId="0BC03425" w14:textId="77777777" w:rsidR="000B7759" w:rsidRDefault="000B7759" w:rsidP="000B7759">
      <w:pPr>
        <w:rPr>
          <w:rFonts w:ascii="Times New Roman" w:hAnsi="Times New Roman" w:cs="Times New Roman"/>
          <w:sz w:val="22"/>
        </w:rPr>
      </w:pPr>
    </w:p>
    <w:p w14:paraId="2EC417CD" w14:textId="77777777" w:rsidR="00065F46" w:rsidRDefault="00065F46" w:rsidP="000B7759">
      <w:pPr>
        <w:rPr>
          <w:rFonts w:ascii="Times New Roman" w:hAnsi="Times New Roman" w:cs="Times New Roman"/>
          <w:sz w:val="22"/>
        </w:rPr>
        <w:sectPr w:rsidR="00065F46" w:rsidSect="00AC5A38">
          <w:headerReference w:type="default" r:id="rId11"/>
          <w:footerReference w:type="default" r:id="rId12"/>
          <w:pgSz w:w="11906" w:h="16838" w:code="9"/>
          <w:pgMar w:top="1440" w:right="1440" w:bottom="1440" w:left="1701" w:header="709" w:footer="709" w:gutter="0"/>
          <w:cols w:space="708"/>
          <w:docGrid w:linePitch="360"/>
        </w:sectPr>
      </w:pPr>
    </w:p>
    <w:p w14:paraId="17F16315" w14:textId="77777777" w:rsidR="000B7759" w:rsidRDefault="000B7759" w:rsidP="000B7759">
      <w:pPr>
        <w:rPr>
          <w:rFonts w:ascii="Times New Roman" w:hAnsi="Times New Roman" w:cs="Times New Roman"/>
          <w:sz w:val="22"/>
        </w:rPr>
      </w:pPr>
    </w:p>
    <w:p w14:paraId="20A6DFA6" w14:textId="77777777" w:rsidR="00065F46" w:rsidRDefault="00065F46" w:rsidP="00065F46">
      <w:pPr>
        <w:jc w:val="both"/>
        <w:rPr>
          <w:rFonts w:cs="Times New Roman"/>
          <w:szCs w:val="20"/>
        </w:rPr>
      </w:pPr>
    </w:p>
    <w:p w14:paraId="466A38DE" w14:textId="77777777" w:rsidR="00065F46" w:rsidRDefault="00065F46" w:rsidP="00065F46">
      <w:pPr>
        <w:jc w:val="both"/>
        <w:rPr>
          <w:rFonts w:cs="Times New Roman"/>
          <w:szCs w:val="20"/>
        </w:rPr>
      </w:pPr>
    </w:p>
    <w:p w14:paraId="4D9167EC" w14:textId="77777777" w:rsidR="00065F46" w:rsidRDefault="00065F46" w:rsidP="00065F46">
      <w:pPr>
        <w:jc w:val="both"/>
        <w:rPr>
          <w:rFonts w:cs="Times New Roman"/>
          <w:szCs w:val="20"/>
        </w:rPr>
      </w:pPr>
    </w:p>
    <w:p w14:paraId="3CB536B2" w14:textId="77777777" w:rsidR="00065F46" w:rsidRDefault="00065F46" w:rsidP="00065F46">
      <w:pPr>
        <w:jc w:val="both"/>
        <w:rPr>
          <w:rFonts w:cs="Times New Roman"/>
          <w:szCs w:val="20"/>
        </w:rPr>
      </w:pPr>
    </w:p>
    <w:p w14:paraId="137F7ACC" w14:textId="77777777" w:rsidR="00065F46" w:rsidRDefault="00065F46" w:rsidP="00065F46">
      <w:pPr>
        <w:jc w:val="both"/>
        <w:rPr>
          <w:rFonts w:cs="Times New Roman"/>
          <w:szCs w:val="20"/>
        </w:rPr>
      </w:pPr>
    </w:p>
    <w:p w14:paraId="432CD475" w14:textId="0F00245B" w:rsidR="00065F46" w:rsidRPr="00A91B56" w:rsidRDefault="00065F46" w:rsidP="00A91B56">
      <w:pPr>
        <w:pStyle w:val="Heading1"/>
        <w:rPr>
          <w:rFonts w:ascii="Trebuchet MS" w:hAnsi="Trebuchet MS" w:cs="Times New Roman"/>
          <w:b/>
          <w:bCs/>
          <w:color w:val="auto"/>
          <w:sz w:val="20"/>
          <w:szCs w:val="20"/>
        </w:rPr>
      </w:pPr>
      <w:bookmarkStart w:id="0" w:name="_Toc52267650"/>
      <w:bookmarkStart w:id="1" w:name="_Toc57894885"/>
      <w:r w:rsidRPr="00A91B56">
        <w:rPr>
          <w:rFonts w:ascii="Trebuchet MS" w:hAnsi="Trebuchet MS" w:cs="Times New Roman"/>
          <w:b/>
          <w:bCs/>
          <w:color w:val="auto"/>
          <w:sz w:val="20"/>
          <w:szCs w:val="20"/>
        </w:rPr>
        <w:t>Independent auditor’s report</w:t>
      </w:r>
      <w:bookmarkEnd w:id="0"/>
      <w:bookmarkEnd w:id="1"/>
    </w:p>
    <w:p w14:paraId="2CD76089" w14:textId="77777777" w:rsidR="00065F46" w:rsidRDefault="00065F46" w:rsidP="00065F46">
      <w:pPr>
        <w:jc w:val="both"/>
        <w:rPr>
          <w:rFonts w:cs="Times New Roman"/>
          <w:szCs w:val="20"/>
        </w:rPr>
      </w:pPr>
    </w:p>
    <w:p w14:paraId="61F259E5" w14:textId="133329CD" w:rsidR="00065F46" w:rsidRPr="00065F46" w:rsidRDefault="00065F46" w:rsidP="00065F46">
      <w:pPr>
        <w:jc w:val="both"/>
        <w:rPr>
          <w:rFonts w:cs="Times New Roman"/>
          <w:szCs w:val="20"/>
        </w:rPr>
      </w:pPr>
      <w:r w:rsidRPr="00065F46">
        <w:rPr>
          <w:rFonts w:cs="Times New Roman"/>
          <w:szCs w:val="20"/>
        </w:rPr>
        <w:t>To the shareholder and the supervisory board of “A-Group Insurance Company” OJSC</w:t>
      </w:r>
    </w:p>
    <w:p w14:paraId="3F298BED" w14:textId="77777777" w:rsidR="00065F46" w:rsidRDefault="00065F46" w:rsidP="00065F46">
      <w:pPr>
        <w:jc w:val="both"/>
        <w:rPr>
          <w:rFonts w:cs="Times New Roman"/>
          <w:szCs w:val="20"/>
        </w:rPr>
      </w:pPr>
    </w:p>
    <w:p w14:paraId="064E2292" w14:textId="5D9F310C" w:rsidR="00065F46" w:rsidRPr="00CB03B8" w:rsidRDefault="00065F46" w:rsidP="00CB03B8">
      <w:pPr>
        <w:spacing w:before="240" w:after="240"/>
        <w:jc w:val="both"/>
        <w:rPr>
          <w:b/>
          <w:bCs/>
          <w:szCs w:val="20"/>
        </w:rPr>
      </w:pPr>
      <w:r w:rsidRPr="00CB03B8">
        <w:rPr>
          <w:b/>
          <w:bCs/>
          <w:szCs w:val="20"/>
        </w:rPr>
        <w:t>Opinion</w:t>
      </w:r>
    </w:p>
    <w:p w14:paraId="3E4E107F" w14:textId="65EF3EE0" w:rsidR="00065F46" w:rsidRPr="00065F46" w:rsidRDefault="00065F46" w:rsidP="00065F46">
      <w:pPr>
        <w:spacing w:before="120" w:after="120" w:line="276" w:lineRule="auto"/>
        <w:jc w:val="both"/>
        <w:rPr>
          <w:szCs w:val="20"/>
        </w:rPr>
      </w:pPr>
      <w:r w:rsidRPr="00065F46">
        <w:rPr>
          <w:szCs w:val="20"/>
        </w:rPr>
        <w:t xml:space="preserve">We have audited the </w:t>
      </w:r>
      <w:r w:rsidR="00CB03B8">
        <w:rPr>
          <w:szCs w:val="20"/>
        </w:rPr>
        <w:t>accompanying</w:t>
      </w:r>
      <w:r w:rsidRPr="00065F46">
        <w:rPr>
          <w:szCs w:val="20"/>
        </w:rPr>
        <w:t xml:space="preserve"> financial statements of </w:t>
      </w:r>
      <w:r w:rsidR="00CB03B8" w:rsidRPr="00CB03B8">
        <w:rPr>
          <w:szCs w:val="20"/>
        </w:rPr>
        <w:t>“A-Group Insurance Company” O</w:t>
      </w:r>
      <w:r w:rsidR="00CB03B8">
        <w:rPr>
          <w:szCs w:val="20"/>
        </w:rPr>
        <w:t>pen Joint Stock Company</w:t>
      </w:r>
      <w:r w:rsidR="00CB03B8" w:rsidRPr="00CB03B8">
        <w:rPr>
          <w:szCs w:val="20"/>
        </w:rPr>
        <w:t xml:space="preserve"> </w:t>
      </w:r>
      <w:r w:rsidRPr="00065F46">
        <w:rPr>
          <w:szCs w:val="20"/>
        </w:rPr>
        <w:t xml:space="preserve">(the </w:t>
      </w:r>
      <w:r w:rsidR="00CB03B8">
        <w:rPr>
          <w:szCs w:val="20"/>
        </w:rPr>
        <w:t>“</w:t>
      </w:r>
      <w:r w:rsidRPr="00065F46">
        <w:rPr>
          <w:szCs w:val="20"/>
        </w:rPr>
        <w:t>Company</w:t>
      </w:r>
      <w:r w:rsidR="00CB03B8">
        <w:rPr>
          <w:szCs w:val="20"/>
        </w:rPr>
        <w:t>”</w:t>
      </w:r>
      <w:r w:rsidRPr="00065F46">
        <w:rPr>
          <w:szCs w:val="20"/>
        </w:rPr>
        <w:t>)</w:t>
      </w:r>
      <w:r w:rsidR="00CB03B8">
        <w:rPr>
          <w:szCs w:val="20"/>
        </w:rPr>
        <w:t>,</w:t>
      </w:r>
      <w:r w:rsidRPr="00065F46">
        <w:rPr>
          <w:szCs w:val="20"/>
        </w:rPr>
        <w:t>which comprise the statement of financial position as at 31 December 2019, and the statement of profit or loss and other comprehensive income, statement of changes in equity and consolidated statement of cash flows for the year then ended, and notes to the financial statements, including a summary of significant accounting policies.</w:t>
      </w:r>
    </w:p>
    <w:p w14:paraId="53DBA649" w14:textId="24A72B94" w:rsidR="00065F46" w:rsidRDefault="00065F46" w:rsidP="00065F46">
      <w:pPr>
        <w:spacing w:after="120" w:line="276" w:lineRule="auto"/>
        <w:jc w:val="both"/>
        <w:rPr>
          <w:szCs w:val="20"/>
        </w:rPr>
      </w:pPr>
      <w:r w:rsidRPr="00065F46">
        <w:rPr>
          <w:szCs w:val="20"/>
        </w:rPr>
        <w:t xml:space="preserve">In our opinion, the accompanying financial statements present fairly, in all material respects, the financial position of the </w:t>
      </w:r>
      <w:r w:rsidR="00CB03B8">
        <w:rPr>
          <w:szCs w:val="20"/>
        </w:rPr>
        <w:t>Company</w:t>
      </w:r>
      <w:r w:rsidRPr="00065F46">
        <w:rPr>
          <w:szCs w:val="20"/>
        </w:rPr>
        <w:t xml:space="preserve"> as at 31 December 2019, and its financial performance and its cash flows for the year then ended in accordance with International Financial Reporting Standards (</w:t>
      </w:r>
      <w:r w:rsidR="00CB03B8">
        <w:rPr>
          <w:szCs w:val="20"/>
        </w:rPr>
        <w:t>“</w:t>
      </w:r>
      <w:r w:rsidRPr="00065F46">
        <w:rPr>
          <w:szCs w:val="20"/>
        </w:rPr>
        <w:t>IFRSs</w:t>
      </w:r>
      <w:r w:rsidR="00CB03B8">
        <w:rPr>
          <w:szCs w:val="20"/>
        </w:rPr>
        <w:t>”</w:t>
      </w:r>
      <w:r w:rsidRPr="00065F46">
        <w:rPr>
          <w:szCs w:val="20"/>
        </w:rPr>
        <w:t>).</w:t>
      </w:r>
    </w:p>
    <w:p w14:paraId="5F4849A5" w14:textId="4A52F1D3" w:rsidR="00CB03B8" w:rsidRPr="00CB03B8" w:rsidRDefault="00CB03B8" w:rsidP="00CB03B8">
      <w:pPr>
        <w:spacing w:before="240" w:after="240"/>
        <w:jc w:val="both"/>
        <w:rPr>
          <w:b/>
          <w:bCs/>
          <w:szCs w:val="20"/>
        </w:rPr>
      </w:pPr>
      <w:r w:rsidRPr="00CB03B8">
        <w:rPr>
          <w:b/>
          <w:bCs/>
          <w:szCs w:val="20"/>
        </w:rPr>
        <w:t>Basis for Opinion</w:t>
      </w:r>
    </w:p>
    <w:p w14:paraId="3C3F86D6" w14:textId="0F94BF7C" w:rsidR="00CB03B8" w:rsidRDefault="00CB03B8" w:rsidP="00CB03B8">
      <w:pPr>
        <w:spacing w:after="120" w:line="276" w:lineRule="auto"/>
        <w:jc w:val="both"/>
        <w:rPr>
          <w:szCs w:val="20"/>
        </w:rPr>
      </w:pPr>
      <w:r w:rsidRPr="00CB03B8">
        <w:rPr>
          <w:szCs w:val="20"/>
        </w:rPr>
        <w:t>We conducted our audit in accordance with International Standards on Auditing (</w:t>
      </w:r>
      <w:r>
        <w:rPr>
          <w:szCs w:val="20"/>
        </w:rPr>
        <w:t>“</w:t>
      </w:r>
      <w:r w:rsidRPr="00CB03B8">
        <w:rPr>
          <w:szCs w:val="20"/>
        </w:rPr>
        <w:t>ISAs</w:t>
      </w:r>
      <w:r>
        <w:rPr>
          <w:szCs w:val="20"/>
        </w:rPr>
        <w:t>”</w:t>
      </w:r>
      <w:r w:rsidRPr="00CB03B8">
        <w:rPr>
          <w:szCs w:val="20"/>
        </w:rPr>
        <w:t xml:space="preserve">). Our responsibilities under those standards are further described in the Auditor’s Responsibilities for the Audit of the Financial Statements section of our report. We are independent of the </w:t>
      </w:r>
      <w:r>
        <w:rPr>
          <w:szCs w:val="20"/>
        </w:rPr>
        <w:t>Company</w:t>
      </w:r>
      <w:r w:rsidRPr="00CB03B8">
        <w:rPr>
          <w:szCs w:val="20"/>
        </w:rPr>
        <w:t xml:space="preserve"> in accordance with the Code of Ethics of Professional Accountants of the International Ethics Standards Board for Accountants (</w:t>
      </w:r>
      <w:r>
        <w:rPr>
          <w:szCs w:val="20"/>
        </w:rPr>
        <w:t>“</w:t>
      </w:r>
      <w:r w:rsidRPr="00CB03B8">
        <w:rPr>
          <w:szCs w:val="20"/>
        </w:rPr>
        <w:t>IESBA</w:t>
      </w:r>
      <w:r>
        <w:rPr>
          <w:szCs w:val="20"/>
        </w:rPr>
        <w:t>”</w:t>
      </w:r>
      <w:r w:rsidRPr="00CB03B8">
        <w:rPr>
          <w:szCs w:val="20"/>
        </w:rPr>
        <w:t xml:space="preserve"> Code), and we have fulfilled our other ethical responsibilities in accordance with these requirements. We believe that the audit evidence we have obtained is </w:t>
      </w:r>
      <w:proofErr w:type="gramStart"/>
      <w:r w:rsidRPr="00CB03B8">
        <w:rPr>
          <w:szCs w:val="20"/>
        </w:rPr>
        <w:t>sufficient</w:t>
      </w:r>
      <w:proofErr w:type="gramEnd"/>
      <w:r w:rsidRPr="00CB03B8">
        <w:rPr>
          <w:szCs w:val="20"/>
        </w:rPr>
        <w:t xml:space="preserve"> and appropriate to provide a basis for our qualified opinion.</w:t>
      </w:r>
    </w:p>
    <w:p w14:paraId="5882BE2E" w14:textId="1CE2C873" w:rsidR="00CB03B8" w:rsidRPr="00CB03B8" w:rsidRDefault="00CB03B8" w:rsidP="00CB03B8">
      <w:pPr>
        <w:spacing w:before="240" w:after="240"/>
        <w:jc w:val="both"/>
        <w:rPr>
          <w:b/>
          <w:bCs/>
          <w:szCs w:val="20"/>
        </w:rPr>
      </w:pPr>
      <w:r w:rsidRPr="00CB03B8">
        <w:rPr>
          <w:b/>
          <w:bCs/>
          <w:szCs w:val="20"/>
        </w:rPr>
        <w:t>Emphasis of matter</w:t>
      </w:r>
    </w:p>
    <w:p w14:paraId="4330B141" w14:textId="40111892" w:rsidR="00CB03B8" w:rsidRPr="00065F46" w:rsidRDefault="00CB03B8" w:rsidP="00CB03B8">
      <w:pPr>
        <w:spacing w:after="120" w:line="276" w:lineRule="auto"/>
        <w:jc w:val="both"/>
        <w:rPr>
          <w:szCs w:val="20"/>
        </w:rPr>
      </w:pPr>
      <w:r>
        <w:rPr>
          <w:szCs w:val="20"/>
        </w:rPr>
        <w:t>Without qualifying our opinion, we draw your attention to Note 2</w:t>
      </w:r>
      <w:r w:rsidR="007364B2">
        <w:rPr>
          <w:szCs w:val="20"/>
        </w:rPr>
        <w:t>3</w:t>
      </w:r>
      <w:r>
        <w:rPr>
          <w:szCs w:val="20"/>
        </w:rPr>
        <w:t xml:space="preserve"> to the financial statements which describes significant concentration of business.</w:t>
      </w:r>
    </w:p>
    <w:p w14:paraId="5B1E9B1E" w14:textId="77777777" w:rsidR="00065F46" w:rsidRPr="00CB03B8" w:rsidRDefault="00065F46" w:rsidP="00CB03B8">
      <w:pPr>
        <w:spacing w:before="240" w:after="240"/>
        <w:jc w:val="both"/>
        <w:rPr>
          <w:b/>
          <w:bCs/>
          <w:szCs w:val="20"/>
        </w:rPr>
      </w:pPr>
      <w:r w:rsidRPr="00CB03B8">
        <w:rPr>
          <w:b/>
          <w:bCs/>
          <w:szCs w:val="20"/>
        </w:rPr>
        <w:t>Responsibilities of Management and Those Charged with Governance for the Consolidated Financial Statements</w:t>
      </w:r>
    </w:p>
    <w:p w14:paraId="4031BD04" w14:textId="087F6C17" w:rsidR="00065F46" w:rsidRPr="00065F46" w:rsidRDefault="00065F46" w:rsidP="00065F46">
      <w:pPr>
        <w:shd w:val="clear" w:color="auto" w:fill="FFFFFF"/>
        <w:tabs>
          <w:tab w:val="left" w:pos="5670"/>
        </w:tabs>
        <w:spacing w:before="120" w:after="120" w:line="276" w:lineRule="auto"/>
        <w:jc w:val="both"/>
        <w:rPr>
          <w:szCs w:val="20"/>
        </w:rPr>
      </w:pPr>
      <w:r w:rsidRPr="00065F46">
        <w:rPr>
          <w:szCs w:val="20"/>
        </w:rPr>
        <w:t>Management is responsible for the preparation and fair presentation of the financial statements in accordance with IFRSs and for such internal control as management determines is necessary to enable the preparation of the financial statements that are free from material misstatements, whether due to fraud or error.</w:t>
      </w:r>
    </w:p>
    <w:p w14:paraId="4F2D2A9A" w14:textId="2E49E5A3" w:rsidR="00065F46" w:rsidRPr="00065F46" w:rsidRDefault="00065F46" w:rsidP="00065F46">
      <w:pPr>
        <w:shd w:val="clear" w:color="auto" w:fill="FFFFFF"/>
        <w:tabs>
          <w:tab w:val="left" w:pos="5670"/>
        </w:tabs>
        <w:spacing w:before="120" w:after="120" w:line="276" w:lineRule="auto"/>
        <w:jc w:val="both"/>
        <w:rPr>
          <w:szCs w:val="20"/>
        </w:rPr>
      </w:pPr>
      <w:r w:rsidRPr="00065F46">
        <w:rPr>
          <w:szCs w:val="20"/>
        </w:rPr>
        <w:t xml:space="preserve">In preparing the financial statements management is responsible for assessing the </w:t>
      </w:r>
      <w:r w:rsidR="00CB03B8">
        <w:rPr>
          <w:szCs w:val="20"/>
        </w:rPr>
        <w:t>Company</w:t>
      </w:r>
      <w:r w:rsidRPr="00065F46">
        <w:rPr>
          <w:szCs w:val="20"/>
        </w:rPr>
        <w:t xml:space="preserve">’s ability to continue as a going concern, disclosing, as applicable, matters related to going concern and using the going concern basis for accounting, unless management either intends to liquidate the </w:t>
      </w:r>
      <w:r w:rsidR="00CB03B8">
        <w:rPr>
          <w:szCs w:val="20"/>
        </w:rPr>
        <w:t>Company</w:t>
      </w:r>
      <w:r w:rsidRPr="00065F46">
        <w:rPr>
          <w:szCs w:val="20"/>
        </w:rPr>
        <w:t xml:space="preserve"> or to cease operations or has no realistic alternative but to do so.</w:t>
      </w:r>
    </w:p>
    <w:p w14:paraId="12C84238" w14:textId="336409B4" w:rsidR="00065F46" w:rsidRDefault="00065F46" w:rsidP="00065F46">
      <w:pPr>
        <w:shd w:val="clear" w:color="auto" w:fill="FFFFFF"/>
        <w:tabs>
          <w:tab w:val="left" w:pos="5670"/>
        </w:tabs>
        <w:spacing w:before="120" w:after="120" w:line="276" w:lineRule="auto"/>
        <w:jc w:val="both"/>
        <w:rPr>
          <w:szCs w:val="20"/>
        </w:rPr>
      </w:pPr>
      <w:r w:rsidRPr="00065F46">
        <w:rPr>
          <w:szCs w:val="20"/>
        </w:rPr>
        <w:t xml:space="preserve">Those charged with governance are responsible for overseeing the </w:t>
      </w:r>
      <w:r w:rsidR="00CB03B8">
        <w:rPr>
          <w:szCs w:val="20"/>
        </w:rPr>
        <w:t>Company</w:t>
      </w:r>
      <w:r w:rsidRPr="00065F46">
        <w:rPr>
          <w:szCs w:val="20"/>
        </w:rPr>
        <w:t>’s financial reporting process.</w:t>
      </w:r>
    </w:p>
    <w:p w14:paraId="016555C7" w14:textId="77777777" w:rsidR="00CB03B8" w:rsidRPr="00065F46" w:rsidRDefault="00CB03B8" w:rsidP="00065F46">
      <w:pPr>
        <w:shd w:val="clear" w:color="auto" w:fill="FFFFFF"/>
        <w:tabs>
          <w:tab w:val="left" w:pos="5670"/>
        </w:tabs>
        <w:spacing w:before="120" w:after="120" w:line="276" w:lineRule="auto"/>
        <w:jc w:val="both"/>
        <w:rPr>
          <w:szCs w:val="20"/>
        </w:rPr>
      </w:pPr>
    </w:p>
    <w:p w14:paraId="4915CEE3" w14:textId="77777777" w:rsidR="00CB03B8" w:rsidRDefault="00CB03B8" w:rsidP="00065F46">
      <w:pPr>
        <w:shd w:val="clear" w:color="auto" w:fill="FFFFFF"/>
        <w:tabs>
          <w:tab w:val="left" w:pos="5670"/>
        </w:tabs>
        <w:spacing w:before="120" w:after="120" w:line="276" w:lineRule="auto"/>
        <w:jc w:val="both"/>
        <w:rPr>
          <w:b/>
          <w:szCs w:val="20"/>
        </w:rPr>
      </w:pPr>
    </w:p>
    <w:p w14:paraId="1D5EE4FA" w14:textId="77777777" w:rsidR="00CB03B8" w:rsidRDefault="00CB03B8" w:rsidP="00065F46">
      <w:pPr>
        <w:shd w:val="clear" w:color="auto" w:fill="FFFFFF"/>
        <w:tabs>
          <w:tab w:val="left" w:pos="5670"/>
        </w:tabs>
        <w:spacing w:before="120" w:after="120" w:line="276" w:lineRule="auto"/>
        <w:jc w:val="both"/>
        <w:rPr>
          <w:b/>
          <w:szCs w:val="20"/>
        </w:rPr>
      </w:pPr>
    </w:p>
    <w:p w14:paraId="27A123E1" w14:textId="5C83033D" w:rsidR="00065F46" w:rsidRPr="00CB03B8" w:rsidRDefault="00065F46" w:rsidP="00CB03B8">
      <w:pPr>
        <w:spacing w:before="240" w:after="240"/>
        <w:jc w:val="both"/>
        <w:rPr>
          <w:b/>
          <w:bCs/>
          <w:szCs w:val="20"/>
        </w:rPr>
      </w:pPr>
      <w:r w:rsidRPr="00CB03B8">
        <w:rPr>
          <w:b/>
          <w:bCs/>
          <w:szCs w:val="20"/>
        </w:rPr>
        <w:t>Auditor’s Responsibilities for the Audit of the Financial Statements</w:t>
      </w:r>
    </w:p>
    <w:p w14:paraId="6BEA37CA" w14:textId="208E051A" w:rsidR="00065F46" w:rsidRPr="00065F46" w:rsidRDefault="00065F46" w:rsidP="00065F46">
      <w:pPr>
        <w:shd w:val="clear" w:color="auto" w:fill="FFFFFF"/>
        <w:tabs>
          <w:tab w:val="left" w:pos="5670"/>
        </w:tabs>
        <w:spacing w:before="120" w:after="120" w:line="276" w:lineRule="auto"/>
        <w:jc w:val="both"/>
        <w:rPr>
          <w:szCs w:val="20"/>
        </w:rPr>
      </w:pPr>
      <w:r w:rsidRPr="00065F46">
        <w:rPr>
          <w:szCs w:val="20"/>
        </w:rPr>
        <w:t xml:space="preserve">Our objectives are to obtain reasonable assurance about whether the financial statements </w:t>
      </w:r>
      <w:proofErr w:type="gramStart"/>
      <w:r w:rsidRPr="00065F46">
        <w:rPr>
          <w:szCs w:val="20"/>
        </w:rPr>
        <w:t>as a whole are</w:t>
      </w:r>
      <w:proofErr w:type="gramEnd"/>
      <w:r w:rsidRPr="00065F46">
        <w:rPr>
          <w:szCs w:val="20"/>
        </w:rPr>
        <w:t xml:space="preserve"> free from material misstatement, whether due to fraud or error and to issue an auditor’s report that includes our opinion. Reasonable assurance is a high level of assurance, but it does not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065F46">
        <w:rPr>
          <w:szCs w:val="20"/>
        </w:rPr>
        <w:t>on the basis of</w:t>
      </w:r>
      <w:proofErr w:type="gramEnd"/>
      <w:r w:rsidRPr="00065F46">
        <w:rPr>
          <w:szCs w:val="20"/>
        </w:rPr>
        <w:t xml:space="preserve"> these financial statements.</w:t>
      </w:r>
    </w:p>
    <w:p w14:paraId="136B4469" w14:textId="77777777" w:rsidR="00065F46" w:rsidRPr="00065F46" w:rsidRDefault="00065F46" w:rsidP="00065F46">
      <w:pPr>
        <w:autoSpaceDE w:val="0"/>
        <w:autoSpaceDN w:val="0"/>
        <w:spacing w:before="120" w:after="200" w:line="276" w:lineRule="auto"/>
        <w:jc w:val="both"/>
        <w:rPr>
          <w:szCs w:val="20"/>
        </w:rPr>
      </w:pPr>
      <w:bookmarkStart w:id="2" w:name="_Hlk520280077"/>
      <w:r w:rsidRPr="00065F46">
        <w:rPr>
          <w:szCs w:val="20"/>
        </w:rPr>
        <w:t>As part of an audit in accordance with International Standards on Auditing, we exercise professional judgement and maintain professional scepticism throughout the audit. We also:</w:t>
      </w:r>
    </w:p>
    <w:p w14:paraId="4A1D7CA7" w14:textId="3233F56D" w:rsidR="00065F46" w:rsidRPr="00CB03B8" w:rsidRDefault="00065F46" w:rsidP="0012709F">
      <w:pPr>
        <w:pStyle w:val="ListParagraph"/>
        <w:numPr>
          <w:ilvl w:val="0"/>
          <w:numId w:val="2"/>
        </w:numPr>
        <w:autoSpaceDE w:val="0"/>
        <w:autoSpaceDN w:val="0"/>
        <w:adjustRightInd w:val="0"/>
        <w:spacing w:before="120" w:after="120"/>
        <w:contextualSpacing w:val="0"/>
        <w:jc w:val="both"/>
        <w:rPr>
          <w:szCs w:val="20"/>
        </w:rPr>
      </w:pPr>
      <w:r w:rsidRPr="00CB03B8">
        <w:rPr>
          <w:szCs w:val="20"/>
        </w:rPr>
        <w:t xml:space="preserve">Identify and assess the risks of material misstatement of the consolidated financial statements, whether due to fraud or error, design and perform audit procedures responsive to those risks and obtain audit evidence that is </w:t>
      </w:r>
      <w:proofErr w:type="gramStart"/>
      <w:r w:rsidRPr="00CB03B8">
        <w:rPr>
          <w:szCs w:val="20"/>
        </w:rPr>
        <w:t>sufficient</w:t>
      </w:r>
      <w:proofErr w:type="gramEnd"/>
      <w:r w:rsidRPr="00CB03B8">
        <w:rPr>
          <w:szCs w:val="20"/>
        </w:rPr>
        <w:t xml:space="preserve"> and appropriate to provide a basis for our opinion. The risk of not detecting a material misstatement resulting from fraud is higher than the one resulting from error, as fraud may involve collusion, forgery, intentional omissions, misrepresentations, or the override of internal control.</w:t>
      </w:r>
    </w:p>
    <w:p w14:paraId="10A9EAD7" w14:textId="3971FD5B" w:rsidR="00065F46" w:rsidRPr="00065F46" w:rsidRDefault="00065F46" w:rsidP="0012709F">
      <w:pPr>
        <w:pStyle w:val="ListParagraph"/>
        <w:numPr>
          <w:ilvl w:val="0"/>
          <w:numId w:val="2"/>
        </w:numPr>
        <w:autoSpaceDE w:val="0"/>
        <w:autoSpaceDN w:val="0"/>
        <w:adjustRightInd w:val="0"/>
        <w:spacing w:before="120" w:after="120"/>
        <w:contextualSpacing w:val="0"/>
        <w:jc w:val="both"/>
        <w:rPr>
          <w:szCs w:val="20"/>
        </w:rPr>
      </w:pPr>
      <w:r w:rsidRPr="00065F46">
        <w:rPr>
          <w:szCs w:val="20"/>
        </w:rPr>
        <w:t xml:space="preserve">Obtain an understanding of the internal control system that is relevant for the audit in order to design audit procedures that are appropriate in the circumstances, but not for the purpose of expressing an opinion on the effectiveness of the </w:t>
      </w:r>
      <w:r w:rsidR="00CB03B8">
        <w:rPr>
          <w:szCs w:val="20"/>
        </w:rPr>
        <w:t>Company</w:t>
      </w:r>
      <w:r w:rsidRPr="00065F46">
        <w:rPr>
          <w:szCs w:val="20"/>
        </w:rPr>
        <w:t>'s internal control.</w:t>
      </w:r>
    </w:p>
    <w:p w14:paraId="45F3B719" w14:textId="77777777" w:rsidR="00065F46" w:rsidRPr="00065F46" w:rsidRDefault="00065F46" w:rsidP="0012709F">
      <w:pPr>
        <w:pStyle w:val="ListParagraph"/>
        <w:numPr>
          <w:ilvl w:val="0"/>
          <w:numId w:val="2"/>
        </w:numPr>
        <w:autoSpaceDE w:val="0"/>
        <w:autoSpaceDN w:val="0"/>
        <w:adjustRightInd w:val="0"/>
        <w:spacing w:before="120" w:after="120"/>
        <w:contextualSpacing w:val="0"/>
        <w:jc w:val="both"/>
        <w:rPr>
          <w:szCs w:val="20"/>
        </w:rPr>
      </w:pPr>
      <w:r w:rsidRPr="00065F46">
        <w:rPr>
          <w:szCs w:val="20"/>
        </w:rPr>
        <w:t>Evaluate the appropriateness of accounting policies used and the reasonableness of accounting estimates and related disclosures made by management.</w:t>
      </w:r>
    </w:p>
    <w:p w14:paraId="0A93903A" w14:textId="247D63F4" w:rsidR="00065F46" w:rsidRPr="0012709F" w:rsidRDefault="00065F46" w:rsidP="0012709F">
      <w:pPr>
        <w:pStyle w:val="ListParagraph"/>
        <w:numPr>
          <w:ilvl w:val="0"/>
          <w:numId w:val="2"/>
        </w:numPr>
        <w:autoSpaceDE w:val="0"/>
        <w:autoSpaceDN w:val="0"/>
        <w:adjustRightInd w:val="0"/>
        <w:spacing w:before="120" w:after="120"/>
        <w:contextualSpacing w:val="0"/>
        <w:jc w:val="both"/>
        <w:rPr>
          <w:szCs w:val="20"/>
        </w:rPr>
      </w:pPr>
      <w:r w:rsidRPr="0012709F">
        <w:rPr>
          <w:szCs w:val="20"/>
        </w:rPr>
        <w:t xml:space="preserve">Conclude on the appropriateness of management's use of the going concern basis and, based on the audit evidence obtained, whether a material uncertainty exists related to events or conditions that may cast significant doubt on the Group's ability to continue as a going concern. If we conclude that a material uncertainty exists, we are required to draw attention in our auditor’s report to the related disclosures in the consolidated financial statements or, if such disclosures are inappropriate, to modify our opinion. Our conclusions are based on the audit evidence obtained up to the date of our auditor’s report. However, future events or conditions may cause the Group to cease to continue as a going concern. </w:t>
      </w:r>
    </w:p>
    <w:p w14:paraId="4EEB0505" w14:textId="77777777" w:rsidR="00065F46" w:rsidRPr="00065F46" w:rsidRDefault="00065F46" w:rsidP="0012709F">
      <w:pPr>
        <w:pStyle w:val="ListParagraph"/>
        <w:numPr>
          <w:ilvl w:val="0"/>
          <w:numId w:val="2"/>
        </w:numPr>
        <w:autoSpaceDE w:val="0"/>
        <w:autoSpaceDN w:val="0"/>
        <w:adjustRightInd w:val="0"/>
        <w:spacing w:before="120" w:after="120"/>
        <w:contextualSpacing w:val="0"/>
        <w:jc w:val="both"/>
        <w:rPr>
          <w:b/>
          <w:szCs w:val="20"/>
        </w:rPr>
      </w:pPr>
      <w:r w:rsidRPr="00065F46">
        <w:rPr>
          <w:szCs w:val="20"/>
        </w:rPr>
        <w:t>Evaluate the overall presentation, structure and content of the consolidated financial statements, including the disclosures, and whether the consolidated financial statements represent the underlying transactions and events in a manner that achieves fair presentation.</w:t>
      </w:r>
    </w:p>
    <w:p w14:paraId="2A7A0462" w14:textId="25DDEC0F" w:rsidR="00065F46" w:rsidRDefault="00065F46" w:rsidP="00065F46">
      <w:pPr>
        <w:autoSpaceDE w:val="0"/>
        <w:autoSpaceDN w:val="0"/>
        <w:spacing w:before="120" w:after="200" w:line="276" w:lineRule="auto"/>
        <w:jc w:val="both"/>
        <w:rPr>
          <w:szCs w:val="20"/>
        </w:rPr>
      </w:pPr>
      <w:r w:rsidRPr="00065F46">
        <w:rPr>
          <w:szCs w:val="20"/>
        </w:rPr>
        <w:t>We communicate with those charged with governance regarding, among other matters, the planned scope and timing of the audit and significant audit findings, including any significant deficiencies in internal control that we identify during our audit.</w:t>
      </w:r>
    </w:p>
    <w:p w14:paraId="4DB5B07F" w14:textId="1EE7DDDD" w:rsidR="0012709F" w:rsidRDefault="0012709F" w:rsidP="00065F46">
      <w:pPr>
        <w:autoSpaceDE w:val="0"/>
        <w:autoSpaceDN w:val="0"/>
        <w:spacing w:before="120" w:after="200" w:line="276" w:lineRule="auto"/>
        <w:jc w:val="both"/>
        <w:rPr>
          <w:szCs w:val="20"/>
        </w:rPr>
      </w:pPr>
      <w:r>
        <w:rPr>
          <w:szCs w:val="20"/>
        </w:rPr>
        <w:t>We also provide those charge with governance with a statement that we have to complied with relevant ethical requirements regarding independence, and to communicate with them all relationships and other matters that may reasonably be thought to bear on our independence, and were applicable, related safeguards.</w:t>
      </w:r>
    </w:p>
    <w:p w14:paraId="403727A6" w14:textId="2F06505E" w:rsidR="0012709F" w:rsidRDefault="0012709F" w:rsidP="00065F46">
      <w:pPr>
        <w:autoSpaceDE w:val="0"/>
        <w:autoSpaceDN w:val="0"/>
        <w:spacing w:before="120" w:after="200" w:line="276" w:lineRule="auto"/>
        <w:jc w:val="both"/>
        <w:rPr>
          <w:szCs w:val="20"/>
        </w:rPr>
      </w:pPr>
    </w:p>
    <w:p w14:paraId="2045E371" w14:textId="187C864A" w:rsidR="0012709F" w:rsidRDefault="0012709F" w:rsidP="00065F46">
      <w:pPr>
        <w:autoSpaceDE w:val="0"/>
        <w:autoSpaceDN w:val="0"/>
        <w:spacing w:before="120" w:after="200" w:line="276" w:lineRule="auto"/>
        <w:jc w:val="both"/>
        <w:rPr>
          <w:szCs w:val="20"/>
        </w:rPr>
      </w:pPr>
    </w:p>
    <w:p w14:paraId="7C388FA8" w14:textId="4A4A79B0" w:rsidR="0012709F" w:rsidRPr="00065F46" w:rsidRDefault="0012709F" w:rsidP="00065F46">
      <w:pPr>
        <w:autoSpaceDE w:val="0"/>
        <w:autoSpaceDN w:val="0"/>
        <w:spacing w:before="120" w:after="200" w:line="276" w:lineRule="auto"/>
        <w:jc w:val="both"/>
        <w:rPr>
          <w:szCs w:val="20"/>
          <w:lang w:val="en-US"/>
        </w:rPr>
      </w:pPr>
      <w:r>
        <w:rPr>
          <w:szCs w:val="20"/>
        </w:rPr>
        <w:t>Baku, Azerbaijan</w:t>
      </w:r>
    </w:p>
    <w:bookmarkEnd w:id="2"/>
    <w:p w14:paraId="2606E8D6" w14:textId="77777777" w:rsidR="00065F46" w:rsidRPr="00065F46" w:rsidRDefault="00065F46" w:rsidP="00065F46">
      <w:pPr>
        <w:spacing w:before="120" w:after="120" w:line="276" w:lineRule="auto"/>
        <w:jc w:val="both"/>
        <w:rPr>
          <w:color w:val="0000FF"/>
          <w:szCs w:val="20"/>
          <w:lang w:val="en-US"/>
        </w:rPr>
      </w:pPr>
    </w:p>
    <w:p w14:paraId="7D691565" w14:textId="77777777" w:rsidR="0012709F" w:rsidRDefault="0012709F" w:rsidP="00065F46">
      <w:pPr>
        <w:rPr>
          <w:rFonts w:ascii="Times New Roman" w:hAnsi="Times New Roman" w:cs="Times New Roman"/>
          <w:sz w:val="22"/>
          <w:lang w:val="en-US"/>
        </w:rPr>
        <w:sectPr w:rsidR="0012709F" w:rsidSect="00065F46">
          <w:headerReference w:type="default" r:id="rId13"/>
          <w:footerReference w:type="default" r:id="rId14"/>
          <w:pgSz w:w="11906" w:h="16838" w:code="9"/>
          <w:pgMar w:top="1440" w:right="849" w:bottom="1440" w:left="1701" w:header="709" w:footer="709" w:gutter="0"/>
          <w:cols w:space="708"/>
          <w:docGrid w:linePitch="360"/>
        </w:sectPr>
      </w:pPr>
    </w:p>
    <w:p w14:paraId="313388A9" w14:textId="2A427677" w:rsidR="00065F46" w:rsidRDefault="00065F46" w:rsidP="00065F46">
      <w:pPr>
        <w:rPr>
          <w:rFonts w:ascii="Times New Roman" w:hAnsi="Times New Roman" w:cs="Times New Roman"/>
          <w:sz w:val="22"/>
          <w:lang w:val="en-US"/>
        </w:rPr>
      </w:pPr>
    </w:p>
    <w:p w14:paraId="52C7892C" w14:textId="4C9EC268" w:rsidR="000D5A86" w:rsidRDefault="000D5A86" w:rsidP="00065F46">
      <w:pPr>
        <w:rPr>
          <w:rFonts w:ascii="Times New Roman" w:hAnsi="Times New Roman" w:cs="Times New Roman"/>
          <w:sz w:val="22"/>
          <w:lang w:val="en-US"/>
        </w:rPr>
      </w:pPr>
    </w:p>
    <w:tbl>
      <w:tblPr>
        <w:tblW w:w="9214" w:type="dxa"/>
        <w:jc w:val="center"/>
        <w:tblBorders>
          <w:top w:val="single" w:sz="4" w:space="0" w:color="auto"/>
          <w:bottom w:val="single" w:sz="4" w:space="0" w:color="auto"/>
        </w:tblBorders>
        <w:tblLayout w:type="fixed"/>
        <w:tblLook w:val="0000" w:firstRow="0" w:lastRow="0" w:firstColumn="0" w:lastColumn="0" w:noHBand="0" w:noVBand="0"/>
      </w:tblPr>
      <w:tblGrid>
        <w:gridCol w:w="4395"/>
        <w:gridCol w:w="1417"/>
        <w:gridCol w:w="1701"/>
        <w:gridCol w:w="1701"/>
      </w:tblGrid>
      <w:tr w:rsidR="000D5A86" w:rsidRPr="0012709F" w14:paraId="1406A705" w14:textId="77777777" w:rsidTr="00DC7046">
        <w:trPr>
          <w:trHeight w:val="210"/>
          <w:jc w:val="center"/>
        </w:trPr>
        <w:tc>
          <w:tcPr>
            <w:tcW w:w="4395" w:type="dxa"/>
            <w:tcBorders>
              <w:top w:val="nil"/>
              <w:bottom w:val="single" w:sz="4" w:space="0" w:color="auto"/>
            </w:tcBorders>
            <w:vAlign w:val="bottom"/>
          </w:tcPr>
          <w:p w14:paraId="4B292F89" w14:textId="77777777" w:rsidR="000D5A86" w:rsidRPr="00DD7EB8" w:rsidRDefault="000D5A86" w:rsidP="00DC7046">
            <w:bookmarkStart w:id="3" w:name="OLE_LINK11"/>
          </w:p>
        </w:tc>
        <w:tc>
          <w:tcPr>
            <w:tcW w:w="1417" w:type="dxa"/>
            <w:tcBorders>
              <w:top w:val="nil"/>
              <w:bottom w:val="single" w:sz="4" w:space="0" w:color="auto"/>
            </w:tcBorders>
            <w:vAlign w:val="bottom"/>
          </w:tcPr>
          <w:p w14:paraId="061166FA" w14:textId="77777777" w:rsidR="000D5A86" w:rsidRPr="0012709F" w:rsidRDefault="000D5A86" w:rsidP="00DC7046">
            <w:pPr>
              <w:pStyle w:val="Norml"/>
              <w:widowControl w:val="0"/>
              <w:spacing w:after="0"/>
              <w:ind w:left="-108" w:right="-108"/>
              <w:jc w:val="center"/>
              <w:rPr>
                <w:rFonts w:ascii="Trebuchet MS" w:hAnsi="Trebuchet MS" w:cs="Arial"/>
                <w:b/>
                <w:color w:val="000000"/>
                <w:sz w:val="18"/>
                <w:szCs w:val="18"/>
              </w:rPr>
            </w:pPr>
            <w:r w:rsidRPr="0012709F">
              <w:rPr>
                <w:rFonts w:ascii="Trebuchet MS" w:hAnsi="Trebuchet MS"/>
                <w:b/>
                <w:color w:val="000000"/>
                <w:sz w:val="18"/>
                <w:szCs w:val="18"/>
              </w:rPr>
              <w:t>Notes</w:t>
            </w:r>
          </w:p>
        </w:tc>
        <w:tc>
          <w:tcPr>
            <w:tcW w:w="1701" w:type="dxa"/>
            <w:tcBorders>
              <w:top w:val="nil"/>
              <w:bottom w:val="single" w:sz="4" w:space="0" w:color="auto"/>
            </w:tcBorders>
            <w:shd w:val="clear" w:color="auto" w:fill="auto"/>
            <w:vAlign w:val="bottom"/>
          </w:tcPr>
          <w:p w14:paraId="64A83958" w14:textId="77777777" w:rsidR="000D5A86" w:rsidRPr="0012709F" w:rsidRDefault="000D5A86" w:rsidP="00DC7046">
            <w:pPr>
              <w:pStyle w:val="Norml"/>
              <w:widowControl w:val="0"/>
              <w:spacing w:after="0"/>
              <w:ind w:left="-108" w:right="68"/>
              <w:jc w:val="right"/>
              <w:rPr>
                <w:rFonts w:ascii="Trebuchet MS" w:hAnsi="Trebuchet MS" w:cs="Arial"/>
                <w:b/>
                <w:sz w:val="18"/>
                <w:szCs w:val="18"/>
              </w:rPr>
            </w:pPr>
            <w:r w:rsidRPr="0012709F">
              <w:rPr>
                <w:rFonts w:ascii="Trebuchet MS" w:hAnsi="Trebuchet MS"/>
                <w:b/>
                <w:color w:val="000000"/>
                <w:sz w:val="18"/>
                <w:szCs w:val="18"/>
              </w:rPr>
              <w:t>2019</w:t>
            </w:r>
          </w:p>
        </w:tc>
        <w:tc>
          <w:tcPr>
            <w:tcW w:w="1701" w:type="dxa"/>
            <w:tcBorders>
              <w:top w:val="nil"/>
              <w:bottom w:val="single" w:sz="4" w:space="0" w:color="auto"/>
            </w:tcBorders>
            <w:vAlign w:val="bottom"/>
          </w:tcPr>
          <w:p w14:paraId="24ACCB79" w14:textId="77777777" w:rsidR="000D5A86" w:rsidRPr="0012709F" w:rsidRDefault="000D5A86" w:rsidP="00DC7046">
            <w:pPr>
              <w:pStyle w:val="Norml"/>
              <w:widowControl w:val="0"/>
              <w:spacing w:after="0"/>
              <w:ind w:left="-108" w:right="68"/>
              <w:jc w:val="right"/>
              <w:rPr>
                <w:rFonts w:ascii="Trebuchet MS" w:hAnsi="Trebuchet MS" w:cs="Arial"/>
                <w:color w:val="000000"/>
                <w:sz w:val="18"/>
                <w:szCs w:val="18"/>
              </w:rPr>
            </w:pPr>
            <w:r w:rsidRPr="0012709F">
              <w:rPr>
                <w:rFonts w:ascii="Trebuchet MS" w:hAnsi="Trebuchet MS"/>
                <w:color w:val="000000"/>
                <w:sz w:val="18"/>
                <w:szCs w:val="18"/>
              </w:rPr>
              <w:t>2018</w:t>
            </w:r>
          </w:p>
        </w:tc>
      </w:tr>
      <w:tr w:rsidR="000D5A86" w:rsidRPr="0012709F" w14:paraId="71F7B490" w14:textId="77777777" w:rsidTr="00DC7046">
        <w:trPr>
          <w:trHeight w:val="210"/>
          <w:jc w:val="center"/>
        </w:trPr>
        <w:tc>
          <w:tcPr>
            <w:tcW w:w="4395" w:type="dxa"/>
            <w:tcBorders>
              <w:top w:val="single" w:sz="4" w:space="0" w:color="auto"/>
              <w:bottom w:val="nil"/>
            </w:tcBorders>
            <w:vAlign w:val="bottom"/>
          </w:tcPr>
          <w:p w14:paraId="5E4217EC" w14:textId="77777777" w:rsidR="000D5A86" w:rsidRPr="0012709F" w:rsidRDefault="000D5A86" w:rsidP="00DC7046">
            <w:pPr>
              <w:pStyle w:val="Norml"/>
              <w:widowControl w:val="0"/>
              <w:spacing w:after="0"/>
              <w:ind w:left="5" w:right="-108" w:hanging="113"/>
              <w:rPr>
                <w:rFonts w:ascii="Trebuchet MS" w:hAnsi="Trebuchet MS" w:cs="Arial"/>
                <w:b/>
                <w:kern w:val="16"/>
                <w:sz w:val="18"/>
                <w:szCs w:val="18"/>
              </w:rPr>
            </w:pPr>
            <w:r w:rsidRPr="0012709F">
              <w:rPr>
                <w:rFonts w:ascii="Trebuchet MS" w:hAnsi="Trebuchet MS"/>
                <w:b/>
                <w:sz w:val="18"/>
                <w:szCs w:val="18"/>
              </w:rPr>
              <w:t xml:space="preserve"> </w:t>
            </w:r>
          </w:p>
        </w:tc>
        <w:tc>
          <w:tcPr>
            <w:tcW w:w="1417" w:type="dxa"/>
            <w:tcBorders>
              <w:top w:val="single" w:sz="4" w:space="0" w:color="auto"/>
              <w:bottom w:val="nil"/>
            </w:tcBorders>
            <w:vAlign w:val="bottom"/>
          </w:tcPr>
          <w:p w14:paraId="289C9FEA" w14:textId="77777777" w:rsidR="000D5A86" w:rsidRPr="0012709F" w:rsidRDefault="000D5A86" w:rsidP="00DC7046">
            <w:pPr>
              <w:pStyle w:val="Norml"/>
              <w:widowControl w:val="0"/>
              <w:spacing w:after="0"/>
              <w:ind w:left="-108" w:right="-108"/>
              <w:jc w:val="center"/>
              <w:rPr>
                <w:rFonts w:ascii="Trebuchet MS" w:hAnsi="Trebuchet MS" w:cs="Arial"/>
                <w:kern w:val="16"/>
                <w:sz w:val="18"/>
                <w:szCs w:val="18"/>
                <w:lang w:val="ru-RU"/>
              </w:rPr>
            </w:pPr>
          </w:p>
        </w:tc>
        <w:tc>
          <w:tcPr>
            <w:tcW w:w="1701" w:type="dxa"/>
            <w:tcBorders>
              <w:top w:val="single" w:sz="4" w:space="0" w:color="auto"/>
              <w:bottom w:val="nil"/>
            </w:tcBorders>
            <w:shd w:val="clear" w:color="auto" w:fill="auto"/>
            <w:vAlign w:val="bottom"/>
          </w:tcPr>
          <w:p w14:paraId="1BAF8C0F" w14:textId="77777777" w:rsidR="000D5A86" w:rsidRPr="0012709F" w:rsidRDefault="000D5A86" w:rsidP="00DC7046">
            <w:pPr>
              <w:pStyle w:val="Norml"/>
              <w:widowControl w:val="0"/>
              <w:tabs>
                <w:tab w:val="decimal" w:pos="1418"/>
              </w:tabs>
              <w:spacing w:after="0"/>
              <w:rPr>
                <w:rFonts w:ascii="Trebuchet MS" w:hAnsi="Trebuchet MS" w:cs="Arial"/>
                <w:b/>
                <w:kern w:val="16"/>
                <w:sz w:val="18"/>
                <w:szCs w:val="18"/>
                <w:lang w:val="ru-RU"/>
              </w:rPr>
            </w:pPr>
          </w:p>
        </w:tc>
        <w:tc>
          <w:tcPr>
            <w:tcW w:w="1701" w:type="dxa"/>
            <w:tcBorders>
              <w:top w:val="single" w:sz="4" w:space="0" w:color="auto"/>
              <w:bottom w:val="nil"/>
            </w:tcBorders>
            <w:vAlign w:val="bottom"/>
          </w:tcPr>
          <w:p w14:paraId="389CC9D5" w14:textId="77777777" w:rsidR="000D5A86" w:rsidRPr="0012709F" w:rsidRDefault="000D5A86" w:rsidP="00DC7046">
            <w:pPr>
              <w:pStyle w:val="Norml"/>
              <w:widowControl w:val="0"/>
              <w:tabs>
                <w:tab w:val="decimal" w:pos="1418"/>
              </w:tabs>
              <w:spacing w:after="0"/>
              <w:rPr>
                <w:rFonts w:ascii="Trebuchet MS" w:hAnsi="Trebuchet MS" w:cs="Arial"/>
                <w:kern w:val="16"/>
                <w:sz w:val="18"/>
                <w:szCs w:val="18"/>
                <w:lang w:val="ru-RU"/>
              </w:rPr>
            </w:pPr>
          </w:p>
        </w:tc>
      </w:tr>
      <w:tr w:rsidR="000D5A86" w:rsidRPr="0012709F" w14:paraId="4A2E1317" w14:textId="77777777" w:rsidTr="00DC7046">
        <w:trPr>
          <w:trHeight w:val="210"/>
          <w:jc w:val="center"/>
        </w:trPr>
        <w:tc>
          <w:tcPr>
            <w:tcW w:w="4395" w:type="dxa"/>
            <w:tcBorders>
              <w:top w:val="nil"/>
            </w:tcBorders>
            <w:vAlign w:val="bottom"/>
          </w:tcPr>
          <w:p w14:paraId="46D6DD64" w14:textId="77777777" w:rsidR="000D5A86" w:rsidRPr="0012709F" w:rsidRDefault="000D5A86" w:rsidP="00DC7046">
            <w:pPr>
              <w:pStyle w:val="Norml"/>
              <w:widowControl w:val="0"/>
              <w:spacing w:after="0"/>
              <w:ind w:left="5" w:right="-108" w:hanging="113"/>
              <w:rPr>
                <w:rFonts w:ascii="Trebuchet MS" w:hAnsi="Trebuchet MS" w:cs="Arial"/>
                <w:b/>
                <w:caps/>
                <w:kern w:val="16"/>
                <w:sz w:val="18"/>
                <w:szCs w:val="18"/>
              </w:rPr>
            </w:pPr>
            <w:r>
              <w:rPr>
                <w:rFonts w:ascii="Trebuchet MS" w:hAnsi="Trebuchet MS"/>
                <w:b/>
                <w:sz w:val="18"/>
                <w:szCs w:val="18"/>
              </w:rPr>
              <w:t>ASSETS</w:t>
            </w:r>
          </w:p>
        </w:tc>
        <w:tc>
          <w:tcPr>
            <w:tcW w:w="1417" w:type="dxa"/>
            <w:tcBorders>
              <w:top w:val="nil"/>
            </w:tcBorders>
            <w:vAlign w:val="bottom"/>
          </w:tcPr>
          <w:p w14:paraId="3BF82084" w14:textId="77777777" w:rsidR="000D5A86" w:rsidRPr="0012709F" w:rsidRDefault="000D5A86" w:rsidP="00DC7046">
            <w:pPr>
              <w:pStyle w:val="Norml"/>
              <w:widowControl w:val="0"/>
              <w:spacing w:after="0"/>
              <w:ind w:left="-108" w:right="-108"/>
              <w:jc w:val="center"/>
              <w:rPr>
                <w:rFonts w:ascii="Trebuchet MS" w:hAnsi="Trebuchet MS" w:cs="Arial"/>
                <w:kern w:val="16"/>
                <w:sz w:val="18"/>
                <w:szCs w:val="18"/>
                <w:lang w:val="ru-RU"/>
              </w:rPr>
            </w:pPr>
          </w:p>
        </w:tc>
        <w:tc>
          <w:tcPr>
            <w:tcW w:w="1701" w:type="dxa"/>
            <w:tcBorders>
              <w:top w:val="nil"/>
            </w:tcBorders>
            <w:shd w:val="clear" w:color="auto" w:fill="auto"/>
            <w:vAlign w:val="bottom"/>
          </w:tcPr>
          <w:p w14:paraId="390443F7" w14:textId="77777777" w:rsidR="000D5A86" w:rsidRPr="0012709F" w:rsidRDefault="000D5A86" w:rsidP="00DC7046">
            <w:pPr>
              <w:pStyle w:val="Norml"/>
              <w:widowControl w:val="0"/>
              <w:tabs>
                <w:tab w:val="decimal" w:pos="1418"/>
              </w:tabs>
              <w:spacing w:after="0"/>
              <w:rPr>
                <w:rFonts w:ascii="Trebuchet MS" w:hAnsi="Trebuchet MS" w:cs="Arial"/>
                <w:b/>
                <w:kern w:val="16"/>
                <w:sz w:val="18"/>
                <w:szCs w:val="18"/>
                <w:lang w:val="ru-RU"/>
              </w:rPr>
            </w:pPr>
          </w:p>
        </w:tc>
        <w:tc>
          <w:tcPr>
            <w:tcW w:w="1701" w:type="dxa"/>
            <w:tcBorders>
              <w:top w:val="nil"/>
            </w:tcBorders>
            <w:vAlign w:val="bottom"/>
          </w:tcPr>
          <w:p w14:paraId="73B036AA" w14:textId="77777777" w:rsidR="000D5A86" w:rsidRPr="0012709F" w:rsidRDefault="000D5A86" w:rsidP="00DC7046">
            <w:pPr>
              <w:pStyle w:val="Norml"/>
              <w:widowControl w:val="0"/>
              <w:tabs>
                <w:tab w:val="decimal" w:pos="1418"/>
              </w:tabs>
              <w:spacing w:after="0"/>
              <w:rPr>
                <w:rFonts w:ascii="Trebuchet MS" w:hAnsi="Trebuchet MS" w:cs="Arial"/>
                <w:kern w:val="16"/>
                <w:sz w:val="18"/>
                <w:szCs w:val="18"/>
                <w:lang w:val="ru-RU"/>
              </w:rPr>
            </w:pPr>
          </w:p>
        </w:tc>
      </w:tr>
      <w:tr w:rsidR="000D5A86" w:rsidRPr="0012709F" w14:paraId="4E1F7D91" w14:textId="77777777" w:rsidTr="00DC7046">
        <w:trPr>
          <w:trHeight w:val="210"/>
          <w:jc w:val="center"/>
        </w:trPr>
        <w:tc>
          <w:tcPr>
            <w:tcW w:w="4395" w:type="dxa"/>
            <w:vAlign w:val="bottom"/>
          </w:tcPr>
          <w:p w14:paraId="649F3298" w14:textId="77777777" w:rsidR="000D5A86" w:rsidRPr="0012709F" w:rsidRDefault="000D5A86" w:rsidP="00DC7046">
            <w:pPr>
              <w:pStyle w:val="Norml"/>
              <w:widowControl w:val="0"/>
              <w:spacing w:after="0"/>
              <w:ind w:left="5" w:right="-108" w:hanging="113"/>
              <w:rPr>
                <w:rFonts w:ascii="Trebuchet MS" w:hAnsi="Trebuchet MS" w:cs="Arial"/>
                <w:sz w:val="18"/>
                <w:szCs w:val="18"/>
              </w:rPr>
            </w:pPr>
            <w:bookmarkStart w:id="4" w:name="_Hlk515452326"/>
            <w:r>
              <w:rPr>
                <w:rFonts w:ascii="Trebuchet MS" w:hAnsi="Trebuchet MS"/>
                <w:sz w:val="18"/>
                <w:szCs w:val="18"/>
              </w:rPr>
              <w:t>Cash and banks accounts</w:t>
            </w:r>
          </w:p>
        </w:tc>
        <w:tc>
          <w:tcPr>
            <w:tcW w:w="1417" w:type="dxa"/>
            <w:vAlign w:val="bottom"/>
          </w:tcPr>
          <w:p w14:paraId="4A64D7DF" w14:textId="53E1666B"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6</w:t>
            </w:r>
          </w:p>
        </w:tc>
        <w:tc>
          <w:tcPr>
            <w:tcW w:w="1701" w:type="dxa"/>
            <w:shd w:val="clear" w:color="auto" w:fill="auto"/>
            <w:vAlign w:val="bottom"/>
          </w:tcPr>
          <w:p w14:paraId="19BA5A02" w14:textId="64A791BF"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9,190,503</w:t>
            </w:r>
          </w:p>
        </w:tc>
        <w:tc>
          <w:tcPr>
            <w:tcW w:w="1701" w:type="dxa"/>
            <w:vAlign w:val="bottom"/>
          </w:tcPr>
          <w:p w14:paraId="1D1BC9F5"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6,563,578</w:t>
            </w:r>
          </w:p>
        </w:tc>
      </w:tr>
      <w:tr w:rsidR="000D5A86" w:rsidRPr="0012709F" w14:paraId="7207A05C" w14:textId="77777777" w:rsidTr="00DC7046">
        <w:trPr>
          <w:trHeight w:val="210"/>
          <w:jc w:val="center"/>
        </w:trPr>
        <w:tc>
          <w:tcPr>
            <w:tcW w:w="4395" w:type="dxa"/>
            <w:vAlign w:val="bottom"/>
          </w:tcPr>
          <w:p w14:paraId="2920FB0B" w14:textId="77777777" w:rsidR="000D5A86" w:rsidRPr="0012709F" w:rsidRDefault="000D5A86" w:rsidP="00DC7046">
            <w:pPr>
              <w:pStyle w:val="Norml"/>
              <w:widowControl w:val="0"/>
              <w:spacing w:after="0"/>
              <w:ind w:left="5" w:right="-108" w:hanging="113"/>
              <w:rPr>
                <w:rFonts w:ascii="Trebuchet MS" w:hAnsi="Trebuchet MS" w:cs="Arial"/>
                <w:sz w:val="18"/>
                <w:szCs w:val="18"/>
              </w:rPr>
            </w:pPr>
            <w:r>
              <w:rPr>
                <w:rFonts w:ascii="Trebuchet MS" w:hAnsi="Trebuchet MS"/>
                <w:sz w:val="18"/>
                <w:szCs w:val="18"/>
              </w:rPr>
              <w:t>Deposits with banks</w:t>
            </w:r>
          </w:p>
        </w:tc>
        <w:tc>
          <w:tcPr>
            <w:tcW w:w="1417" w:type="dxa"/>
            <w:vAlign w:val="bottom"/>
          </w:tcPr>
          <w:p w14:paraId="714BA6E4" w14:textId="0922EE9E"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7</w:t>
            </w:r>
          </w:p>
        </w:tc>
        <w:tc>
          <w:tcPr>
            <w:tcW w:w="1701" w:type="dxa"/>
            <w:shd w:val="clear" w:color="auto" w:fill="auto"/>
            <w:vAlign w:val="bottom"/>
          </w:tcPr>
          <w:p w14:paraId="7E4E671E" w14:textId="4AAC9884"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8,836,089</w:t>
            </w:r>
          </w:p>
        </w:tc>
        <w:tc>
          <w:tcPr>
            <w:tcW w:w="1701" w:type="dxa"/>
            <w:vAlign w:val="bottom"/>
          </w:tcPr>
          <w:p w14:paraId="20D6F87D"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6,758,840</w:t>
            </w:r>
          </w:p>
        </w:tc>
      </w:tr>
      <w:tr w:rsidR="000D5A86" w:rsidRPr="0012709F" w14:paraId="751BC57E" w14:textId="77777777" w:rsidTr="00DC7046">
        <w:trPr>
          <w:trHeight w:val="210"/>
          <w:jc w:val="center"/>
        </w:trPr>
        <w:tc>
          <w:tcPr>
            <w:tcW w:w="4395" w:type="dxa"/>
            <w:vAlign w:val="bottom"/>
          </w:tcPr>
          <w:p w14:paraId="299FD82B" w14:textId="77777777" w:rsidR="000D5A86" w:rsidRPr="0012709F" w:rsidRDefault="000D5A86" w:rsidP="00DC7046">
            <w:pPr>
              <w:pStyle w:val="Norml"/>
              <w:widowControl w:val="0"/>
              <w:spacing w:after="0"/>
              <w:ind w:left="5" w:right="-108" w:hanging="113"/>
              <w:rPr>
                <w:rFonts w:ascii="Trebuchet MS" w:hAnsi="Trebuchet MS" w:cs="Arial"/>
                <w:sz w:val="18"/>
                <w:szCs w:val="18"/>
              </w:rPr>
            </w:pPr>
            <w:r>
              <w:rPr>
                <w:rFonts w:ascii="Trebuchet MS" w:hAnsi="Trebuchet MS"/>
                <w:color w:val="000000"/>
                <w:sz w:val="18"/>
                <w:szCs w:val="18"/>
              </w:rPr>
              <w:t>Receivables</w:t>
            </w:r>
          </w:p>
        </w:tc>
        <w:tc>
          <w:tcPr>
            <w:tcW w:w="1417" w:type="dxa"/>
            <w:vAlign w:val="bottom"/>
          </w:tcPr>
          <w:p w14:paraId="7434AF14" w14:textId="1C28CB6A"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8</w:t>
            </w:r>
          </w:p>
        </w:tc>
        <w:tc>
          <w:tcPr>
            <w:tcW w:w="1701" w:type="dxa"/>
            <w:shd w:val="clear" w:color="auto" w:fill="auto"/>
            <w:vAlign w:val="bottom"/>
          </w:tcPr>
          <w:p w14:paraId="242D7AB8" w14:textId="16EE3FEF"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1,</w:t>
            </w:r>
            <w:r>
              <w:rPr>
                <w:rFonts w:ascii="Trebuchet MS" w:hAnsi="Trebuchet MS" w:cs="Arial"/>
                <w:b/>
                <w:color w:val="000000"/>
                <w:sz w:val="18"/>
                <w:szCs w:val="18"/>
                <w:lang w:val="en-US"/>
              </w:rPr>
              <w:t>2</w:t>
            </w:r>
            <w:r>
              <w:rPr>
                <w:rFonts w:ascii="Trebuchet MS" w:hAnsi="Trebuchet MS" w:cs="Arial"/>
                <w:b/>
                <w:color w:val="000000"/>
                <w:sz w:val="18"/>
                <w:szCs w:val="18"/>
                <w:lang w:val="ru-RU"/>
              </w:rPr>
              <w:t>95,559</w:t>
            </w:r>
          </w:p>
        </w:tc>
        <w:tc>
          <w:tcPr>
            <w:tcW w:w="1701" w:type="dxa"/>
            <w:vAlign w:val="bottom"/>
          </w:tcPr>
          <w:p w14:paraId="7FC9A068"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6,576,384</w:t>
            </w:r>
          </w:p>
        </w:tc>
      </w:tr>
      <w:tr w:rsidR="000D5A86" w:rsidRPr="0012709F" w14:paraId="6A2E97E0" w14:textId="77777777" w:rsidTr="00DC7046">
        <w:trPr>
          <w:trHeight w:val="210"/>
          <w:jc w:val="center"/>
        </w:trPr>
        <w:tc>
          <w:tcPr>
            <w:tcW w:w="4395" w:type="dxa"/>
            <w:vAlign w:val="bottom"/>
          </w:tcPr>
          <w:p w14:paraId="45745B99" w14:textId="77777777" w:rsidR="000D5A86" w:rsidRDefault="000D5A86" w:rsidP="00DC7046">
            <w:pPr>
              <w:pStyle w:val="Norml"/>
              <w:widowControl w:val="0"/>
              <w:spacing w:after="0"/>
              <w:ind w:left="5" w:right="-108" w:hanging="113"/>
              <w:rPr>
                <w:rFonts w:ascii="Trebuchet MS" w:hAnsi="Trebuchet MS"/>
                <w:color w:val="000000"/>
                <w:sz w:val="18"/>
                <w:szCs w:val="18"/>
              </w:rPr>
            </w:pPr>
            <w:r>
              <w:rPr>
                <w:rFonts w:ascii="Trebuchet MS" w:hAnsi="Trebuchet MS"/>
                <w:color w:val="000000"/>
                <w:sz w:val="18"/>
                <w:szCs w:val="18"/>
              </w:rPr>
              <w:t>Reinsurance assets</w:t>
            </w:r>
          </w:p>
        </w:tc>
        <w:tc>
          <w:tcPr>
            <w:tcW w:w="1417" w:type="dxa"/>
            <w:vAlign w:val="bottom"/>
          </w:tcPr>
          <w:p w14:paraId="1BEADAEB" w14:textId="6CDC7EF3" w:rsidR="000D5A86" w:rsidRPr="0012709F" w:rsidRDefault="008F38F1" w:rsidP="00DC7046">
            <w:pPr>
              <w:pStyle w:val="Norml"/>
              <w:widowControl w:val="0"/>
              <w:spacing w:after="0"/>
              <w:ind w:left="-108" w:right="-108"/>
              <w:jc w:val="center"/>
              <w:rPr>
                <w:rFonts w:ascii="Trebuchet MS" w:hAnsi="Trebuchet MS"/>
                <w:sz w:val="18"/>
                <w:szCs w:val="18"/>
              </w:rPr>
            </w:pPr>
            <w:r>
              <w:rPr>
                <w:rFonts w:ascii="Trebuchet MS" w:hAnsi="Trebuchet MS"/>
                <w:sz w:val="18"/>
                <w:szCs w:val="18"/>
              </w:rPr>
              <w:t>9</w:t>
            </w:r>
          </w:p>
        </w:tc>
        <w:tc>
          <w:tcPr>
            <w:tcW w:w="1701" w:type="dxa"/>
            <w:shd w:val="clear" w:color="auto" w:fill="auto"/>
            <w:vAlign w:val="bottom"/>
          </w:tcPr>
          <w:p w14:paraId="1BDD3726" w14:textId="3CCAD726"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1,449,864</w:t>
            </w:r>
          </w:p>
        </w:tc>
        <w:tc>
          <w:tcPr>
            <w:tcW w:w="1701" w:type="dxa"/>
            <w:vAlign w:val="bottom"/>
          </w:tcPr>
          <w:p w14:paraId="1099751D"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1,033,972</w:t>
            </w:r>
          </w:p>
        </w:tc>
      </w:tr>
      <w:tr w:rsidR="000D5A86" w:rsidRPr="0012709F" w14:paraId="76F89A37" w14:textId="77777777" w:rsidTr="00DC7046">
        <w:trPr>
          <w:trHeight w:val="210"/>
          <w:jc w:val="center"/>
        </w:trPr>
        <w:tc>
          <w:tcPr>
            <w:tcW w:w="4395" w:type="dxa"/>
            <w:vAlign w:val="bottom"/>
          </w:tcPr>
          <w:p w14:paraId="18854B03" w14:textId="77777777" w:rsidR="000D5A86" w:rsidRDefault="000D5A86" w:rsidP="00DC7046">
            <w:pPr>
              <w:pStyle w:val="Norml"/>
              <w:widowControl w:val="0"/>
              <w:spacing w:after="0"/>
              <w:ind w:left="5" w:right="-108" w:hanging="113"/>
              <w:rPr>
                <w:rFonts w:ascii="Trebuchet MS" w:hAnsi="Trebuchet MS"/>
                <w:color w:val="000000"/>
                <w:sz w:val="18"/>
                <w:szCs w:val="18"/>
              </w:rPr>
            </w:pPr>
            <w:r>
              <w:rPr>
                <w:rFonts w:ascii="Trebuchet MS" w:hAnsi="Trebuchet MS"/>
                <w:color w:val="000000"/>
                <w:sz w:val="18"/>
                <w:szCs w:val="18"/>
              </w:rPr>
              <w:t>Deferred acquisition casts</w:t>
            </w:r>
          </w:p>
        </w:tc>
        <w:tc>
          <w:tcPr>
            <w:tcW w:w="1417" w:type="dxa"/>
            <w:vAlign w:val="bottom"/>
          </w:tcPr>
          <w:p w14:paraId="4C9B7560" w14:textId="141965D9" w:rsidR="000D5A86" w:rsidRPr="0012709F" w:rsidRDefault="008F38F1" w:rsidP="00DC7046">
            <w:pPr>
              <w:pStyle w:val="Norml"/>
              <w:widowControl w:val="0"/>
              <w:spacing w:after="0"/>
              <w:ind w:left="-108" w:right="-108"/>
              <w:jc w:val="center"/>
              <w:rPr>
                <w:rFonts w:ascii="Trebuchet MS" w:hAnsi="Trebuchet MS"/>
                <w:sz w:val="18"/>
                <w:szCs w:val="18"/>
              </w:rPr>
            </w:pPr>
            <w:r>
              <w:rPr>
                <w:rFonts w:ascii="Trebuchet MS" w:hAnsi="Trebuchet MS"/>
                <w:sz w:val="18"/>
                <w:szCs w:val="18"/>
              </w:rPr>
              <w:t>10</w:t>
            </w:r>
          </w:p>
        </w:tc>
        <w:tc>
          <w:tcPr>
            <w:tcW w:w="1701" w:type="dxa"/>
            <w:shd w:val="clear" w:color="auto" w:fill="auto"/>
            <w:vAlign w:val="bottom"/>
          </w:tcPr>
          <w:p w14:paraId="02F2C210" w14:textId="11442348"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209,102</w:t>
            </w:r>
          </w:p>
        </w:tc>
        <w:tc>
          <w:tcPr>
            <w:tcW w:w="1701" w:type="dxa"/>
            <w:vAlign w:val="bottom"/>
          </w:tcPr>
          <w:p w14:paraId="360B9FA7"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45,350</w:t>
            </w:r>
          </w:p>
        </w:tc>
      </w:tr>
      <w:tr w:rsidR="000D5A86" w:rsidRPr="0012709F" w14:paraId="22A0FA72" w14:textId="77777777" w:rsidTr="00DC7046">
        <w:trPr>
          <w:trHeight w:val="210"/>
          <w:jc w:val="center"/>
        </w:trPr>
        <w:tc>
          <w:tcPr>
            <w:tcW w:w="4395" w:type="dxa"/>
            <w:vAlign w:val="bottom"/>
          </w:tcPr>
          <w:p w14:paraId="3A412AF0" w14:textId="77777777" w:rsidR="000D5A86" w:rsidRDefault="000D5A86" w:rsidP="00DC7046">
            <w:pPr>
              <w:pStyle w:val="Norml"/>
              <w:widowControl w:val="0"/>
              <w:spacing w:after="0"/>
              <w:ind w:left="5" w:right="-108" w:hanging="113"/>
              <w:rPr>
                <w:rFonts w:ascii="Trebuchet MS" w:hAnsi="Trebuchet MS"/>
                <w:color w:val="000000"/>
                <w:sz w:val="18"/>
                <w:szCs w:val="18"/>
              </w:rPr>
            </w:pPr>
            <w:r>
              <w:rPr>
                <w:rFonts w:ascii="Trebuchet MS" w:hAnsi="Trebuchet MS"/>
                <w:color w:val="000000"/>
                <w:sz w:val="18"/>
                <w:szCs w:val="18"/>
              </w:rPr>
              <w:t>Property and equipment</w:t>
            </w:r>
          </w:p>
        </w:tc>
        <w:tc>
          <w:tcPr>
            <w:tcW w:w="1417" w:type="dxa"/>
            <w:vAlign w:val="bottom"/>
          </w:tcPr>
          <w:p w14:paraId="711915DF" w14:textId="13C76855" w:rsidR="000D5A86" w:rsidRPr="0012709F" w:rsidRDefault="008F38F1" w:rsidP="00DC7046">
            <w:pPr>
              <w:pStyle w:val="Norml"/>
              <w:widowControl w:val="0"/>
              <w:spacing w:after="0"/>
              <w:ind w:left="-108" w:right="-108"/>
              <w:jc w:val="center"/>
              <w:rPr>
                <w:rFonts w:ascii="Trebuchet MS" w:hAnsi="Trebuchet MS"/>
                <w:sz w:val="18"/>
                <w:szCs w:val="18"/>
              </w:rPr>
            </w:pPr>
            <w:r>
              <w:rPr>
                <w:rFonts w:ascii="Trebuchet MS" w:hAnsi="Trebuchet MS"/>
                <w:sz w:val="18"/>
                <w:szCs w:val="18"/>
              </w:rPr>
              <w:t>11</w:t>
            </w:r>
          </w:p>
        </w:tc>
        <w:tc>
          <w:tcPr>
            <w:tcW w:w="1701" w:type="dxa"/>
            <w:shd w:val="clear" w:color="auto" w:fill="auto"/>
            <w:vAlign w:val="bottom"/>
          </w:tcPr>
          <w:p w14:paraId="6A69004C" w14:textId="5973DF1D"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521,108</w:t>
            </w:r>
          </w:p>
        </w:tc>
        <w:tc>
          <w:tcPr>
            <w:tcW w:w="1701" w:type="dxa"/>
            <w:vAlign w:val="bottom"/>
          </w:tcPr>
          <w:p w14:paraId="593D6037"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259,841</w:t>
            </w:r>
          </w:p>
        </w:tc>
      </w:tr>
      <w:tr w:rsidR="000D5A86" w:rsidRPr="0012709F" w14:paraId="4B19A004" w14:textId="77777777" w:rsidTr="00DC7046">
        <w:trPr>
          <w:trHeight w:val="210"/>
          <w:jc w:val="center"/>
        </w:trPr>
        <w:tc>
          <w:tcPr>
            <w:tcW w:w="4395" w:type="dxa"/>
            <w:vAlign w:val="bottom"/>
          </w:tcPr>
          <w:p w14:paraId="14B4A070" w14:textId="77777777" w:rsidR="000D5A86" w:rsidRPr="0012709F" w:rsidRDefault="000D5A86" w:rsidP="00DC7046">
            <w:pPr>
              <w:pStyle w:val="Norml"/>
              <w:widowControl w:val="0"/>
              <w:spacing w:after="0"/>
              <w:ind w:left="5" w:right="-108" w:hanging="113"/>
              <w:rPr>
                <w:rFonts w:ascii="Trebuchet MS" w:hAnsi="Trebuchet MS" w:cs="Arial"/>
                <w:color w:val="000000"/>
                <w:sz w:val="18"/>
                <w:szCs w:val="18"/>
              </w:rPr>
            </w:pPr>
            <w:r>
              <w:rPr>
                <w:rFonts w:ascii="Trebuchet MS" w:hAnsi="Trebuchet MS"/>
                <w:color w:val="000000"/>
                <w:sz w:val="18"/>
                <w:szCs w:val="18"/>
              </w:rPr>
              <w:t>Intangible assets</w:t>
            </w:r>
          </w:p>
        </w:tc>
        <w:tc>
          <w:tcPr>
            <w:tcW w:w="1417" w:type="dxa"/>
            <w:vAlign w:val="bottom"/>
          </w:tcPr>
          <w:p w14:paraId="707BA4ED" w14:textId="1028BA0E"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12</w:t>
            </w:r>
          </w:p>
        </w:tc>
        <w:tc>
          <w:tcPr>
            <w:tcW w:w="1701" w:type="dxa"/>
            <w:shd w:val="clear" w:color="auto" w:fill="auto"/>
            <w:vAlign w:val="bottom"/>
          </w:tcPr>
          <w:p w14:paraId="527319CC" w14:textId="08E7ACD5"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22,786</w:t>
            </w:r>
          </w:p>
        </w:tc>
        <w:tc>
          <w:tcPr>
            <w:tcW w:w="1701" w:type="dxa"/>
            <w:vAlign w:val="bottom"/>
          </w:tcPr>
          <w:p w14:paraId="24B19123"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47,671</w:t>
            </w:r>
          </w:p>
        </w:tc>
      </w:tr>
      <w:tr w:rsidR="000D5A86" w:rsidRPr="0012709F" w14:paraId="75AF317C" w14:textId="77777777" w:rsidTr="00DC7046">
        <w:trPr>
          <w:trHeight w:val="210"/>
          <w:jc w:val="center"/>
        </w:trPr>
        <w:tc>
          <w:tcPr>
            <w:tcW w:w="4395" w:type="dxa"/>
            <w:vAlign w:val="bottom"/>
          </w:tcPr>
          <w:p w14:paraId="311C8B0D" w14:textId="77777777" w:rsidR="000D5A86" w:rsidRDefault="000D5A86" w:rsidP="00DC7046">
            <w:pPr>
              <w:pStyle w:val="Norml"/>
              <w:widowControl w:val="0"/>
              <w:spacing w:after="0"/>
              <w:ind w:left="5" w:right="-108" w:hanging="113"/>
              <w:rPr>
                <w:rFonts w:ascii="Trebuchet MS" w:hAnsi="Trebuchet MS"/>
                <w:color w:val="000000"/>
                <w:sz w:val="18"/>
                <w:szCs w:val="18"/>
              </w:rPr>
            </w:pPr>
            <w:r>
              <w:rPr>
                <w:rFonts w:ascii="Trebuchet MS" w:hAnsi="Trebuchet MS"/>
                <w:color w:val="000000"/>
                <w:sz w:val="18"/>
                <w:szCs w:val="18"/>
              </w:rPr>
              <w:t>Investment property</w:t>
            </w:r>
          </w:p>
        </w:tc>
        <w:tc>
          <w:tcPr>
            <w:tcW w:w="1417" w:type="dxa"/>
            <w:vAlign w:val="bottom"/>
          </w:tcPr>
          <w:p w14:paraId="2F0F4425" w14:textId="2964287F" w:rsidR="000D5A86" w:rsidRPr="0012709F" w:rsidRDefault="008F38F1" w:rsidP="00DC7046">
            <w:pPr>
              <w:pStyle w:val="Norml"/>
              <w:widowControl w:val="0"/>
              <w:spacing w:after="0"/>
              <w:ind w:left="-108" w:right="-108"/>
              <w:jc w:val="center"/>
              <w:rPr>
                <w:rFonts w:ascii="Trebuchet MS" w:hAnsi="Trebuchet MS"/>
                <w:sz w:val="18"/>
                <w:szCs w:val="18"/>
              </w:rPr>
            </w:pPr>
            <w:r>
              <w:rPr>
                <w:rFonts w:ascii="Trebuchet MS" w:hAnsi="Trebuchet MS"/>
                <w:sz w:val="18"/>
                <w:szCs w:val="18"/>
              </w:rPr>
              <w:t>13</w:t>
            </w:r>
          </w:p>
        </w:tc>
        <w:tc>
          <w:tcPr>
            <w:tcW w:w="1701" w:type="dxa"/>
            <w:shd w:val="clear" w:color="auto" w:fill="auto"/>
            <w:vAlign w:val="bottom"/>
          </w:tcPr>
          <w:p w14:paraId="77B611C9" w14:textId="5DDAB145" w:rsidR="000D5A86" w:rsidRP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1,996,237</w:t>
            </w:r>
          </w:p>
        </w:tc>
        <w:tc>
          <w:tcPr>
            <w:tcW w:w="1701" w:type="dxa"/>
            <w:vAlign w:val="bottom"/>
          </w:tcPr>
          <w:p w14:paraId="1ED53DC3"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1,597,420</w:t>
            </w:r>
          </w:p>
        </w:tc>
      </w:tr>
      <w:tr w:rsidR="005C554F" w:rsidRPr="0012709F" w14:paraId="6503CBD6" w14:textId="77777777" w:rsidTr="00DC7046">
        <w:trPr>
          <w:trHeight w:val="210"/>
          <w:jc w:val="center"/>
        </w:trPr>
        <w:tc>
          <w:tcPr>
            <w:tcW w:w="4395" w:type="dxa"/>
            <w:vAlign w:val="bottom"/>
          </w:tcPr>
          <w:p w14:paraId="27226126" w14:textId="4872C43E" w:rsidR="005C554F" w:rsidRDefault="005C554F" w:rsidP="00DC7046">
            <w:pPr>
              <w:pStyle w:val="Norml"/>
              <w:widowControl w:val="0"/>
              <w:spacing w:after="0"/>
              <w:ind w:left="5" w:right="-108" w:hanging="113"/>
              <w:rPr>
                <w:rFonts w:ascii="Trebuchet MS" w:hAnsi="Trebuchet MS"/>
                <w:color w:val="000000"/>
                <w:sz w:val="18"/>
                <w:szCs w:val="18"/>
              </w:rPr>
            </w:pPr>
            <w:r w:rsidRPr="005C554F">
              <w:rPr>
                <w:rFonts w:ascii="Trebuchet MS" w:hAnsi="Trebuchet MS"/>
                <w:color w:val="000000"/>
                <w:sz w:val="18"/>
                <w:szCs w:val="18"/>
              </w:rPr>
              <w:t>Right-of-use assets</w:t>
            </w:r>
          </w:p>
        </w:tc>
        <w:tc>
          <w:tcPr>
            <w:tcW w:w="1417" w:type="dxa"/>
            <w:vAlign w:val="bottom"/>
          </w:tcPr>
          <w:p w14:paraId="6CF5C1AC" w14:textId="751A09E2" w:rsidR="005C554F" w:rsidRPr="0012709F" w:rsidRDefault="008F38F1" w:rsidP="00DC7046">
            <w:pPr>
              <w:pStyle w:val="Norml"/>
              <w:widowControl w:val="0"/>
              <w:spacing w:after="0"/>
              <w:ind w:left="-108" w:right="-108"/>
              <w:jc w:val="center"/>
              <w:rPr>
                <w:rFonts w:ascii="Trebuchet MS" w:hAnsi="Trebuchet MS"/>
                <w:sz w:val="18"/>
                <w:szCs w:val="18"/>
              </w:rPr>
            </w:pPr>
            <w:r>
              <w:rPr>
                <w:rFonts w:ascii="Trebuchet MS" w:hAnsi="Trebuchet MS"/>
                <w:sz w:val="18"/>
                <w:szCs w:val="18"/>
              </w:rPr>
              <w:t>14</w:t>
            </w:r>
          </w:p>
        </w:tc>
        <w:tc>
          <w:tcPr>
            <w:tcW w:w="1701" w:type="dxa"/>
            <w:shd w:val="clear" w:color="auto" w:fill="auto"/>
            <w:vAlign w:val="bottom"/>
          </w:tcPr>
          <w:p w14:paraId="2B13DFA4" w14:textId="5DF7DB5A" w:rsidR="005C554F" w:rsidRDefault="005C554F" w:rsidP="00DC7046">
            <w:pPr>
              <w:pStyle w:val="Norml"/>
              <w:widowControl w:val="0"/>
              <w:tabs>
                <w:tab w:val="decimal" w:pos="1418"/>
              </w:tabs>
              <w:spacing w:after="0"/>
              <w:rPr>
                <w:rFonts w:ascii="Trebuchet MS" w:hAnsi="Trebuchet MS" w:cs="Arial"/>
                <w:b/>
                <w:color w:val="000000"/>
                <w:sz w:val="18"/>
                <w:szCs w:val="18"/>
                <w:lang w:val="ru-RU"/>
              </w:rPr>
            </w:pPr>
            <w:r>
              <w:rPr>
                <w:rFonts w:ascii="Trebuchet MS" w:hAnsi="Trebuchet MS" w:cs="Arial"/>
                <w:b/>
                <w:color w:val="000000"/>
                <w:sz w:val="18"/>
                <w:szCs w:val="18"/>
                <w:lang w:val="ru-RU"/>
              </w:rPr>
              <w:t>120,660</w:t>
            </w:r>
          </w:p>
        </w:tc>
        <w:tc>
          <w:tcPr>
            <w:tcW w:w="1701" w:type="dxa"/>
            <w:vAlign w:val="bottom"/>
          </w:tcPr>
          <w:p w14:paraId="34776FAB" w14:textId="08A6FEA4" w:rsidR="005C554F" w:rsidRPr="005C554F" w:rsidRDefault="005C554F" w:rsidP="00DC7046">
            <w:pPr>
              <w:pStyle w:val="Norml"/>
              <w:widowControl w:val="0"/>
              <w:spacing w:after="0"/>
              <w:jc w:val="right"/>
              <w:rPr>
                <w:rFonts w:ascii="Trebuchet MS" w:hAnsi="Trebuchet MS" w:cs="Arial"/>
                <w:color w:val="000000"/>
                <w:sz w:val="18"/>
                <w:szCs w:val="18"/>
                <w:lang w:val="ru-RU"/>
              </w:rPr>
            </w:pPr>
            <w:r>
              <w:rPr>
                <w:rFonts w:ascii="Trebuchet MS" w:hAnsi="Trebuchet MS" w:cs="Arial"/>
                <w:color w:val="000000"/>
                <w:sz w:val="18"/>
                <w:szCs w:val="18"/>
                <w:lang w:val="ru-RU"/>
              </w:rPr>
              <w:t>-</w:t>
            </w:r>
          </w:p>
        </w:tc>
      </w:tr>
      <w:tr w:rsidR="000D5A86" w:rsidRPr="0012709F" w14:paraId="4EF8D1F6" w14:textId="77777777" w:rsidTr="00DC7046">
        <w:trPr>
          <w:trHeight w:val="80"/>
          <w:jc w:val="center"/>
        </w:trPr>
        <w:tc>
          <w:tcPr>
            <w:tcW w:w="4395" w:type="dxa"/>
            <w:vAlign w:val="bottom"/>
          </w:tcPr>
          <w:p w14:paraId="5D0A6578" w14:textId="667DD0BC" w:rsidR="000D5A86" w:rsidRPr="0012709F" w:rsidRDefault="005C554F" w:rsidP="00DC7046">
            <w:pPr>
              <w:pStyle w:val="Norml"/>
              <w:widowControl w:val="0"/>
              <w:spacing w:after="0"/>
              <w:ind w:left="5" w:right="-108" w:hanging="113"/>
              <w:rPr>
                <w:rFonts w:ascii="Trebuchet MS" w:hAnsi="Trebuchet MS" w:cs="Arial"/>
                <w:color w:val="000000"/>
                <w:sz w:val="18"/>
                <w:szCs w:val="18"/>
              </w:rPr>
            </w:pPr>
            <w:r>
              <w:rPr>
                <w:rFonts w:ascii="Trebuchet MS" w:hAnsi="Trebuchet MS"/>
                <w:color w:val="000000"/>
                <w:sz w:val="18"/>
                <w:szCs w:val="18"/>
                <w:lang w:val="en-US"/>
              </w:rPr>
              <w:t>Income t</w:t>
            </w:r>
            <w:proofErr w:type="spellStart"/>
            <w:r w:rsidR="000D5A86">
              <w:rPr>
                <w:rFonts w:ascii="Trebuchet MS" w:hAnsi="Trebuchet MS"/>
                <w:color w:val="000000"/>
                <w:sz w:val="18"/>
                <w:szCs w:val="18"/>
              </w:rPr>
              <w:t>ax</w:t>
            </w:r>
            <w:proofErr w:type="spellEnd"/>
            <w:r w:rsidR="000D5A86" w:rsidRPr="0012709F">
              <w:rPr>
                <w:rFonts w:ascii="Trebuchet MS" w:hAnsi="Trebuchet MS"/>
                <w:color w:val="000000"/>
                <w:sz w:val="18"/>
                <w:szCs w:val="18"/>
              </w:rPr>
              <w:t xml:space="preserve"> assets</w:t>
            </w:r>
          </w:p>
        </w:tc>
        <w:tc>
          <w:tcPr>
            <w:tcW w:w="1417" w:type="dxa"/>
            <w:vAlign w:val="bottom"/>
          </w:tcPr>
          <w:p w14:paraId="72E39D82" w14:textId="77777777" w:rsidR="000D5A86" w:rsidRPr="0012709F" w:rsidRDefault="000D5A86" w:rsidP="00DC7046">
            <w:pPr>
              <w:pStyle w:val="Norml"/>
              <w:widowControl w:val="0"/>
              <w:spacing w:after="0"/>
              <w:ind w:left="-108" w:right="-108"/>
              <w:jc w:val="center"/>
              <w:rPr>
                <w:rFonts w:ascii="Trebuchet MS" w:hAnsi="Trebuchet MS" w:cs="Arial"/>
                <w:sz w:val="18"/>
                <w:szCs w:val="18"/>
              </w:rPr>
            </w:pPr>
          </w:p>
        </w:tc>
        <w:tc>
          <w:tcPr>
            <w:tcW w:w="1701" w:type="dxa"/>
            <w:shd w:val="clear" w:color="auto" w:fill="auto"/>
            <w:vAlign w:val="bottom"/>
          </w:tcPr>
          <w:p w14:paraId="211E7A2A" w14:textId="253FB80F"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72,483</w:t>
            </w:r>
          </w:p>
        </w:tc>
        <w:tc>
          <w:tcPr>
            <w:tcW w:w="1701" w:type="dxa"/>
            <w:vAlign w:val="bottom"/>
          </w:tcPr>
          <w:p w14:paraId="29417381"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w:t>
            </w:r>
          </w:p>
        </w:tc>
      </w:tr>
      <w:tr w:rsidR="000D5A86" w:rsidRPr="0012709F" w14:paraId="1C14FDC7" w14:textId="77777777" w:rsidTr="00DC7046">
        <w:trPr>
          <w:trHeight w:val="210"/>
          <w:jc w:val="center"/>
        </w:trPr>
        <w:tc>
          <w:tcPr>
            <w:tcW w:w="4395" w:type="dxa"/>
            <w:vAlign w:val="bottom"/>
          </w:tcPr>
          <w:p w14:paraId="3A9BA9C0" w14:textId="77777777" w:rsidR="000D5A86" w:rsidRPr="0012709F" w:rsidRDefault="000D5A86" w:rsidP="00DC7046">
            <w:pPr>
              <w:pStyle w:val="Norml"/>
              <w:widowControl w:val="0"/>
              <w:spacing w:after="0"/>
              <w:ind w:left="5" w:right="-108" w:hanging="113"/>
              <w:rPr>
                <w:rFonts w:ascii="Trebuchet MS" w:hAnsi="Trebuchet MS" w:cs="Arial"/>
                <w:color w:val="000000"/>
                <w:sz w:val="18"/>
                <w:szCs w:val="18"/>
              </w:rPr>
            </w:pPr>
            <w:r>
              <w:rPr>
                <w:rFonts w:ascii="Trebuchet MS" w:hAnsi="Trebuchet MS"/>
                <w:color w:val="000000"/>
                <w:sz w:val="18"/>
                <w:szCs w:val="18"/>
              </w:rPr>
              <w:t>Deferred tax assets</w:t>
            </w:r>
          </w:p>
        </w:tc>
        <w:tc>
          <w:tcPr>
            <w:tcW w:w="1417" w:type="dxa"/>
            <w:vAlign w:val="bottom"/>
          </w:tcPr>
          <w:p w14:paraId="00CC0D5C" w14:textId="520C65DE" w:rsidR="000D5A86" w:rsidRPr="008F38F1" w:rsidRDefault="008F38F1" w:rsidP="00DC7046">
            <w:pPr>
              <w:pStyle w:val="Norml"/>
              <w:widowControl w:val="0"/>
              <w:spacing w:after="0"/>
              <w:ind w:left="-108" w:right="-108"/>
              <w:jc w:val="center"/>
              <w:rPr>
                <w:rFonts w:ascii="Trebuchet MS" w:hAnsi="Trebuchet MS" w:cs="Arial"/>
                <w:sz w:val="18"/>
                <w:szCs w:val="18"/>
                <w:lang w:val="en-US"/>
              </w:rPr>
            </w:pPr>
            <w:r>
              <w:rPr>
                <w:rFonts w:ascii="Trebuchet MS" w:hAnsi="Trebuchet MS" w:cs="Arial"/>
                <w:sz w:val="18"/>
                <w:szCs w:val="18"/>
                <w:lang w:val="en-US"/>
              </w:rPr>
              <w:t>15</w:t>
            </w:r>
          </w:p>
        </w:tc>
        <w:tc>
          <w:tcPr>
            <w:tcW w:w="1701" w:type="dxa"/>
            <w:shd w:val="clear" w:color="auto" w:fill="auto"/>
            <w:vAlign w:val="bottom"/>
          </w:tcPr>
          <w:p w14:paraId="2F293766" w14:textId="668D7B3E"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57,785</w:t>
            </w:r>
          </w:p>
        </w:tc>
        <w:tc>
          <w:tcPr>
            <w:tcW w:w="1701" w:type="dxa"/>
            <w:vAlign w:val="bottom"/>
          </w:tcPr>
          <w:p w14:paraId="5B3F07A4"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25,798</w:t>
            </w:r>
          </w:p>
        </w:tc>
      </w:tr>
      <w:tr w:rsidR="000D5A86" w:rsidRPr="0012709F" w14:paraId="71150999" w14:textId="77777777" w:rsidTr="00DC7046">
        <w:trPr>
          <w:trHeight w:val="210"/>
          <w:jc w:val="center"/>
        </w:trPr>
        <w:tc>
          <w:tcPr>
            <w:tcW w:w="4395" w:type="dxa"/>
            <w:vAlign w:val="bottom"/>
          </w:tcPr>
          <w:p w14:paraId="6C587955" w14:textId="77777777" w:rsidR="000D5A86" w:rsidRPr="0012709F" w:rsidRDefault="000D5A86" w:rsidP="00DC7046">
            <w:pPr>
              <w:pStyle w:val="Norml"/>
              <w:widowControl w:val="0"/>
              <w:spacing w:after="0"/>
              <w:ind w:left="5" w:right="-108" w:hanging="113"/>
              <w:rPr>
                <w:rFonts w:ascii="Trebuchet MS" w:hAnsi="Trebuchet MS" w:cs="Arial"/>
                <w:color w:val="000000"/>
                <w:sz w:val="18"/>
                <w:szCs w:val="18"/>
              </w:rPr>
            </w:pPr>
            <w:r w:rsidRPr="0012709F">
              <w:rPr>
                <w:rFonts w:ascii="Trebuchet MS" w:hAnsi="Trebuchet MS"/>
                <w:color w:val="000000"/>
                <w:sz w:val="18"/>
                <w:szCs w:val="18"/>
              </w:rPr>
              <w:t>Other assets</w:t>
            </w:r>
          </w:p>
        </w:tc>
        <w:tc>
          <w:tcPr>
            <w:tcW w:w="1417" w:type="dxa"/>
            <w:vAlign w:val="bottom"/>
          </w:tcPr>
          <w:p w14:paraId="19339B02" w14:textId="43331978"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16</w:t>
            </w:r>
          </w:p>
        </w:tc>
        <w:tc>
          <w:tcPr>
            <w:tcW w:w="1701" w:type="dxa"/>
            <w:shd w:val="clear" w:color="auto" w:fill="auto"/>
            <w:vAlign w:val="bottom"/>
          </w:tcPr>
          <w:p w14:paraId="6BCE4935" w14:textId="4B304308"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122,456</w:t>
            </w:r>
          </w:p>
        </w:tc>
        <w:tc>
          <w:tcPr>
            <w:tcW w:w="1701" w:type="dxa"/>
            <w:vAlign w:val="bottom"/>
          </w:tcPr>
          <w:p w14:paraId="63DB59E8" w14:textId="77777777" w:rsidR="000D5A86" w:rsidRPr="0012709F" w:rsidRDefault="000D5A86" w:rsidP="00DC7046">
            <w:pPr>
              <w:pStyle w:val="Norml"/>
              <w:widowControl w:val="0"/>
              <w:spacing w:after="0"/>
              <w:jc w:val="right"/>
              <w:rPr>
                <w:rFonts w:ascii="Trebuchet MS" w:hAnsi="Trebuchet MS" w:cs="Arial"/>
                <w:color w:val="000000"/>
                <w:sz w:val="18"/>
                <w:szCs w:val="18"/>
              </w:rPr>
            </w:pPr>
            <w:r>
              <w:rPr>
                <w:rFonts w:ascii="Trebuchet MS" w:hAnsi="Trebuchet MS" w:cs="Arial"/>
                <w:color w:val="000000"/>
                <w:sz w:val="18"/>
                <w:szCs w:val="18"/>
              </w:rPr>
              <w:t>17,234</w:t>
            </w:r>
          </w:p>
        </w:tc>
      </w:tr>
      <w:tr w:rsidR="000D5A86" w:rsidRPr="0012709F" w14:paraId="6CCCD50A" w14:textId="77777777" w:rsidTr="00DC7046">
        <w:trPr>
          <w:trHeight w:val="347"/>
          <w:jc w:val="center"/>
        </w:trPr>
        <w:tc>
          <w:tcPr>
            <w:tcW w:w="4395" w:type="dxa"/>
            <w:tcBorders>
              <w:top w:val="single" w:sz="4" w:space="0" w:color="auto"/>
              <w:bottom w:val="double" w:sz="4" w:space="0" w:color="auto"/>
            </w:tcBorders>
            <w:vAlign w:val="bottom"/>
          </w:tcPr>
          <w:p w14:paraId="4F1E1723" w14:textId="77777777" w:rsidR="000D5A86" w:rsidRPr="0090580A" w:rsidRDefault="000D5A86" w:rsidP="00DC7046">
            <w:pPr>
              <w:pStyle w:val="Norml"/>
              <w:widowControl w:val="0"/>
              <w:spacing w:after="0"/>
              <w:ind w:left="5" w:right="-108" w:hanging="113"/>
              <w:rPr>
                <w:rFonts w:ascii="Trebuchet MS" w:hAnsi="Trebuchet MS" w:cs="Arial"/>
                <w:b/>
                <w:sz w:val="18"/>
                <w:szCs w:val="18"/>
                <w:lang w:val="en-US"/>
              </w:rPr>
            </w:pPr>
            <w:r>
              <w:rPr>
                <w:rFonts w:ascii="Trebuchet MS" w:hAnsi="Trebuchet MS" w:cs="Arial"/>
                <w:b/>
                <w:sz w:val="18"/>
                <w:szCs w:val="18"/>
                <w:lang w:val="en-US"/>
              </w:rPr>
              <w:t>TOTAL ASSETS</w:t>
            </w:r>
          </w:p>
        </w:tc>
        <w:tc>
          <w:tcPr>
            <w:tcW w:w="1417" w:type="dxa"/>
            <w:tcBorders>
              <w:top w:val="single" w:sz="4" w:space="0" w:color="auto"/>
              <w:bottom w:val="double" w:sz="4" w:space="0" w:color="auto"/>
            </w:tcBorders>
            <w:vAlign w:val="bottom"/>
          </w:tcPr>
          <w:p w14:paraId="506A6A90" w14:textId="77777777" w:rsidR="000D5A86" w:rsidRPr="0012709F" w:rsidRDefault="000D5A86" w:rsidP="00DC7046">
            <w:pPr>
              <w:pStyle w:val="Norml"/>
              <w:widowControl w:val="0"/>
              <w:spacing w:after="0"/>
              <w:ind w:left="-108" w:right="-108"/>
              <w:jc w:val="center"/>
              <w:rPr>
                <w:rFonts w:ascii="Trebuchet MS" w:hAnsi="Trebuchet MS" w:cs="Arial"/>
                <w:b/>
                <w:sz w:val="18"/>
                <w:szCs w:val="18"/>
                <w:lang w:val="ru-RU"/>
              </w:rPr>
            </w:pPr>
          </w:p>
        </w:tc>
        <w:tc>
          <w:tcPr>
            <w:tcW w:w="1701" w:type="dxa"/>
            <w:tcBorders>
              <w:top w:val="single" w:sz="4" w:space="0" w:color="auto"/>
              <w:bottom w:val="double" w:sz="4" w:space="0" w:color="auto"/>
            </w:tcBorders>
            <w:shd w:val="clear" w:color="auto" w:fill="auto"/>
            <w:vAlign w:val="bottom"/>
          </w:tcPr>
          <w:p w14:paraId="1D86EFC8" w14:textId="22C91318"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23,894,632</w:t>
            </w:r>
          </w:p>
        </w:tc>
        <w:tc>
          <w:tcPr>
            <w:tcW w:w="1701" w:type="dxa"/>
            <w:tcBorders>
              <w:top w:val="single" w:sz="4" w:space="0" w:color="auto"/>
              <w:bottom w:val="double" w:sz="4" w:space="0" w:color="auto"/>
            </w:tcBorders>
            <w:vAlign w:val="bottom"/>
          </w:tcPr>
          <w:p w14:paraId="5CA97A7C" w14:textId="77777777" w:rsidR="000D5A86" w:rsidRPr="00916316" w:rsidRDefault="000D5A86" w:rsidP="00DC7046">
            <w:pPr>
              <w:pStyle w:val="Norml"/>
              <w:widowControl w:val="0"/>
              <w:spacing w:after="0"/>
              <w:jc w:val="right"/>
              <w:rPr>
                <w:rFonts w:ascii="Trebuchet MS" w:hAnsi="Trebuchet MS" w:cs="Arial"/>
                <w:color w:val="000000"/>
                <w:sz w:val="18"/>
                <w:szCs w:val="18"/>
              </w:rPr>
            </w:pPr>
            <w:r w:rsidRPr="00916316">
              <w:rPr>
                <w:rFonts w:ascii="Trebuchet MS" w:hAnsi="Trebuchet MS" w:cs="Arial"/>
                <w:color w:val="000000"/>
                <w:sz w:val="18"/>
                <w:szCs w:val="18"/>
              </w:rPr>
              <w:t>22,926,088</w:t>
            </w:r>
          </w:p>
        </w:tc>
      </w:tr>
      <w:tr w:rsidR="000D5A86" w:rsidRPr="0012709F" w14:paraId="489BD932" w14:textId="77777777" w:rsidTr="00DC7046">
        <w:trPr>
          <w:trHeight w:val="210"/>
          <w:jc w:val="center"/>
        </w:trPr>
        <w:tc>
          <w:tcPr>
            <w:tcW w:w="4395" w:type="dxa"/>
            <w:tcBorders>
              <w:top w:val="double" w:sz="4" w:space="0" w:color="auto"/>
              <w:bottom w:val="nil"/>
            </w:tcBorders>
            <w:vAlign w:val="bottom"/>
          </w:tcPr>
          <w:p w14:paraId="0915D35A" w14:textId="77777777" w:rsidR="000D5A86" w:rsidRPr="0012709F" w:rsidRDefault="000D5A86" w:rsidP="00DC7046">
            <w:pPr>
              <w:pStyle w:val="Norml"/>
              <w:widowControl w:val="0"/>
              <w:spacing w:after="0"/>
              <w:ind w:left="5" w:right="-108" w:hanging="113"/>
              <w:rPr>
                <w:rFonts w:ascii="Trebuchet MS" w:hAnsi="Trebuchet MS" w:cs="Arial"/>
                <w:b/>
                <w:sz w:val="18"/>
                <w:szCs w:val="18"/>
              </w:rPr>
            </w:pPr>
            <w:r w:rsidRPr="0012709F">
              <w:rPr>
                <w:rFonts w:ascii="Trebuchet MS" w:hAnsi="Trebuchet MS"/>
                <w:b/>
                <w:sz w:val="18"/>
                <w:szCs w:val="18"/>
              </w:rPr>
              <w:t xml:space="preserve"> </w:t>
            </w:r>
          </w:p>
        </w:tc>
        <w:tc>
          <w:tcPr>
            <w:tcW w:w="1417" w:type="dxa"/>
            <w:tcBorders>
              <w:top w:val="double" w:sz="4" w:space="0" w:color="auto"/>
              <w:bottom w:val="nil"/>
            </w:tcBorders>
            <w:vAlign w:val="bottom"/>
          </w:tcPr>
          <w:p w14:paraId="2559DAC5" w14:textId="77777777" w:rsidR="000D5A86" w:rsidRPr="0012709F" w:rsidRDefault="000D5A86" w:rsidP="00DC7046">
            <w:pPr>
              <w:pStyle w:val="Norml"/>
              <w:widowControl w:val="0"/>
              <w:spacing w:after="0"/>
              <w:ind w:left="-108" w:right="-108"/>
              <w:jc w:val="center"/>
              <w:rPr>
                <w:rFonts w:ascii="Trebuchet MS" w:hAnsi="Trebuchet MS" w:cs="Arial"/>
                <w:b/>
                <w:sz w:val="18"/>
                <w:szCs w:val="18"/>
                <w:lang w:val="ru-RU"/>
              </w:rPr>
            </w:pPr>
          </w:p>
        </w:tc>
        <w:tc>
          <w:tcPr>
            <w:tcW w:w="1701" w:type="dxa"/>
            <w:tcBorders>
              <w:top w:val="double" w:sz="4" w:space="0" w:color="auto"/>
              <w:bottom w:val="nil"/>
            </w:tcBorders>
            <w:shd w:val="clear" w:color="auto" w:fill="auto"/>
            <w:vAlign w:val="bottom"/>
          </w:tcPr>
          <w:p w14:paraId="032A7E74" w14:textId="77777777" w:rsidR="000D5A86" w:rsidRPr="0012709F" w:rsidRDefault="000D5A86" w:rsidP="00DC7046">
            <w:pPr>
              <w:pStyle w:val="Norml"/>
              <w:widowControl w:val="0"/>
              <w:tabs>
                <w:tab w:val="decimal" w:pos="1418"/>
              </w:tabs>
              <w:spacing w:after="0"/>
              <w:rPr>
                <w:rFonts w:ascii="Trebuchet MS" w:hAnsi="Trebuchet MS" w:cs="Arial"/>
                <w:b/>
                <w:color w:val="000000"/>
                <w:sz w:val="18"/>
                <w:szCs w:val="18"/>
              </w:rPr>
            </w:pPr>
          </w:p>
        </w:tc>
        <w:tc>
          <w:tcPr>
            <w:tcW w:w="1701" w:type="dxa"/>
            <w:tcBorders>
              <w:top w:val="double" w:sz="4" w:space="0" w:color="auto"/>
              <w:bottom w:val="nil"/>
            </w:tcBorders>
            <w:vAlign w:val="bottom"/>
          </w:tcPr>
          <w:p w14:paraId="1041D52D"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p>
        </w:tc>
      </w:tr>
      <w:tr w:rsidR="000D5A86" w:rsidRPr="0012709F" w14:paraId="5FB193BF" w14:textId="77777777" w:rsidTr="00DC7046">
        <w:trPr>
          <w:trHeight w:val="210"/>
          <w:jc w:val="center"/>
        </w:trPr>
        <w:tc>
          <w:tcPr>
            <w:tcW w:w="4395" w:type="dxa"/>
            <w:tcBorders>
              <w:top w:val="nil"/>
              <w:bottom w:val="nil"/>
            </w:tcBorders>
            <w:vAlign w:val="bottom"/>
          </w:tcPr>
          <w:p w14:paraId="1DE82656" w14:textId="77777777" w:rsidR="000D5A86" w:rsidRPr="0012709F" w:rsidRDefault="000D5A86" w:rsidP="00DC7046">
            <w:pPr>
              <w:pStyle w:val="Norml"/>
              <w:widowControl w:val="0"/>
              <w:spacing w:after="0"/>
              <w:ind w:left="5" w:right="-108" w:hanging="113"/>
              <w:rPr>
                <w:rFonts w:ascii="Trebuchet MS" w:hAnsi="Trebuchet MS" w:cs="Arial"/>
                <w:b/>
                <w:caps/>
                <w:snapToGrid w:val="0"/>
                <w:color w:val="000000"/>
                <w:sz w:val="18"/>
                <w:szCs w:val="18"/>
              </w:rPr>
            </w:pPr>
            <w:r w:rsidRPr="0012709F">
              <w:rPr>
                <w:rFonts w:ascii="Trebuchet MS" w:hAnsi="Trebuchet MS"/>
                <w:b/>
                <w:caps/>
                <w:snapToGrid w:val="0"/>
                <w:color w:val="000000"/>
                <w:sz w:val="18"/>
                <w:szCs w:val="18"/>
              </w:rPr>
              <w:t xml:space="preserve"> </w:t>
            </w:r>
          </w:p>
        </w:tc>
        <w:tc>
          <w:tcPr>
            <w:tcW w:w="1417" w:type="dxa"/>
            <w:tcBorders>
              <w:top w:val="nil"/>
              <w:bottom w:val="nil"/>
            </w:tcBorders>
            <w:vAlign w:val="bottom"/>
          </w:tcPr>
          <w:p w14:paraId="6E137C8B" w14:textId="77777777" w:rsidR="000D5A86" w:rsidRPr="0012709F" w:rsidRDefault="000D5A86" w:rsidP="00DC7046">
            <w:pPr>
              <w:pStyle w:val="Norml"/>
              <w:widowControl w:val="0"/>
              <w:spacing w:after="0"/>
              <w:ind w:left="-108" w:right="-108"/>
              <w:jc w:val="center"/>
              <w:rPr>
                <w:rFonts w:ascii="Trebuchet MS" w:hAnsi="Trebuchet MS" w:cs="Arial"/>
                <w:kern w:val="16"/>
                <w:sz w:val="18"/>
                <w:szCs w:val="18"/>
              </w:rPr>
            </w:pPr>
          </w:p>
        </w:tc>
        <w:tc>
          <w:tcPr>
            <w:tcW w:w="1701" w:type="dxa"/>
            <w:tcBorders>
              <w:top w:val="nil"/>
              <w:bottom w:val="nil"/>
            </w:tcBorders>
            <w:vAlign w:val="bottom"/>
          </w:tcPr>
          <w:p w14:paraId="7C9DCF63" w14:textId="77777777" w:rsidR="000D5A86" w:rsidRPr="0012709F" w:rsidRDefault="000D5A86" w:rsidP="00DC7046">
            <w:pPr>
              <w:pStyle w:val="Norml"/>
              <w:widowControl w:val="0"/>
              <w:tabs>
                <w:tab w:val="decimal" w:pos="1418"/>
              </w:tabs>
              <w:spacing w:after="0"/>
              <w:rPr>
                <w:rFonts w:ascii="Trebuchet MS" w:hAnsi="Trebuchet MS" w:cs="Arial"/>
                <w:b/>
                <w:color w:val="000000"/>
                <w:sz w:val="18"/>
                <w:szCs w:val="18"/>
                <w:highlight w:val="yellow"/>
              </w:rPr>
            </w:pPr>
          </w:p>
        </w:tc>
        <w:tc>
          <w:tcPr>
            <w:tcW w:w="1701" w:type="dxa"/>
            <w:tcBorders>
              <w:top w:val="nil"/>
              <w:bottom w:val="nil"/>
            </w:tcBorders>
            <w:vAlign w:val="bottom"/>
          </w:tcPr>
          <w:p w14:paraId="4D2A0293"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highlight w:val="yellow"/>
              </w:rPr>
            </w:pPr>
          </w:p>
        </w:tc>
      </w:tr>
      <w:tr w:rsidR="000D5A86" w:rsidRPr="0012709F" w14:paraId="5CFC12C2" w14:textId="77777777" w:rsidTr="00DC7046">
        <w:trPr>
          <w:trHeight w:val="210"/>
          <w:jc w:val="center"/>
        </w:trPr>
        <w:tc>
          <w:tcPr>
            <w:tcW w:w="4395" w:type="dxa"/>
            <w:tcBorders>
              <w:top w:val="nil"/>
              <w:bottom w:val="nil"/>
            </w:tcBorders>
            <w:vAlign w:val="bottom"/>
          </w:tcPr>
          <w:p w14:paraId="3A7DF821" w14:textId="77777777" w:rsidR="000D5A86" w:rsidRPr="0012709F" w:rsidRDefault="000D5A86" w:rsidP="00DC7046">
            <w:pPr>
              <w:pStyle w:val="Norml"/>
              <w:widowControl w:val="0"/>
              <w:spacing w:after="0"/>
              <w:ind w:left="5" w:right="-108" w:hanging="113"/>
              <w:rPr>
                <w:rFonts w:ascii="Trebuchet MS" w:hAnsi="Trebuchet MS" w:cs="Arial"/>
                <w:caps/>
                <w:kern w:val="16"/>
                <w:sz w:val="18"/>
                <w:szCs w:val="18"/>
              </w:rPr>
            </w:pPr>
            <w:r>
              <w:rPr>
                <w:rFonts w:ascii="Trebuchet MS" w:hAnsi="Trebuchet MS"/>
                <w:b/>
                <w:snapToGrid w:val="0"/>
                <w:color w:val="000000"/>
                <w:sz w:val="18"/>
                <w:szCs w:val="18"/>
              </w:rPr>
              <w:t>LIABILITIES AND EQUITY</w:t>
            </w:r>
          </w:p>
        </w:tc>
        <w:tc>
          <w:tcPr>
            <w:tcW w:w="1417" w:type="dxa"/>
            <w:tcBorders>
              <w:top w:val="nil"/>
              <w:bottom w:val="nil"/>
            </w:tcBorders>
            <w:vAlign w:val="bottom"/>
          </w:tcPr>
          <w:p w14:paraId="0DA4D97E" w14:textId="77777777" w:rsidR="000D5A86" w:rsidRPr="0012709F" w:rsidRDefault="000D5A86" w:rsidP="00DC7046">
            <w:pPr>
              <w:pStyle w:val="Norml"/>
              <w:widowControl w:val="0"/>
              <w:spacing w:after="0"/>
              <w:ind w:left="-108" w:right="-108"/>
              <w:jc w:val="center"/>
              <w:rPr>
                <w:rFonts w:ascii="Trebuchet MS" w:hAnsi="Trebuchet MS" w:cs="Arial"/>
                <w:kern w:val="16"/>
                <w:sz w:val="18"/>
                <w:szCs w:val="18"/>
              </w:rPr>
            </w:pPr>
          </w:p>
        </w:tc>
        <w:tc>
          <w:tcPr>
            <w:tcW w:w="1701" w:type="dxa"/>
            <w:tcBorders>
              <w:top w:val="nil"/>
              <w:bottom w:val="nil"/>
            </w:tcBorders>
            <w:vAlign w:val="bottom"/>
          </w:tcPr>
          <w:p w14:paraId="08385F8A" w14:textId="77777777" w:rsidR="000D5A86" w:rsidRPr="0012709F" w:rsidRDefault="000D5A86" w:rsidP="00DC7046">
            <w:pPr>
              <w:pStyle w:val="Norml"/>
              <w:widowControl w:val="0"/>
              <w:tabs>
                <w:tab w:val="decimal" w:pos="1418"/>
              </w:tabs>
              <w:spacing w:after="0"/>
              <w:rPr>
                <w:rFonts w:ascii="Trebuchet MS" w:hAnsi="Trebuchet MS" w:cs="Arial"/>
                <w:b/>
                <w:color w:val="000000"/>
                <w:sz w:val="18"/>
                <w:szCs w:val="18"/>
                <w:highlight w:val="yellow"/>
              </w:rPr>
            </w:pPr>
          </w:p>
        </w:tc>
        <w:tc>
          <w:tcPr>
            <w:tcW w:w="1701" w:type="dxa"/>
            <w:tcBorders>
              <w:top w:val="nil"/>
              <w:bottom w:val="nil"/>
            </w:tcBorders>
            <w:vAlign w:val="bottom"/>
          </w:tcPr>
          <w:p w14:paraId="75B5DD6A"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highlight w:val="yellow"/>
              </w:rPr>
            </w:pPr>
          </w:p>
        </w:tc>
      </w:tr>
      <w:tr w:rsidR="000D5A86" w:rsidRPr="0012709F" w14:paraId="6EDABB63" w14:textId="77777777" w:rsidTr="00DC7046">
        <w:trPr>
          <w:trHeight w:val="210"/>
          <w:jc w:val="center"/>
        </w:trPr>
        <w:tc>
          <w:tcPr>
            <w:tcW w:w="4395" w:type="dxa"/>
            <w:tcBorders>
              <w:top w:val="nil"/>
              <w:bottom w:val="nil"/>
            </w:tcBorders>
            <w:vAlign w:val="bottom"/>
          </w:tcPr>
          <w:p w14:paraId="4D688201" w14:textId="77777777" w:rsidR="000D5A86" w:rsidRPr="0012709F" w:rsidRDefault="000D5A86" w:rsidP="00DC7046">
            <w:pPr>
              <w:pStyle w:val="Norml"/>
              <w:widowControl w:val="0"/>
              <w:spacing w:after="0"/>
              <w:ind w:left="5" w:right="-108" w:hanging="113"/>
              <w:rPr>
                <w:rFonts w:ascii="Trebuchet MS" w:hAnsi="Trebuchet MS" w:cs="Arial"/>
                <w:b/>
                <w:bCs/>
                <w:color w:val="000000"/>
                <w:sz w:val="18"/>
                <w:szCs w:val="18"/>
              </w:rPr>
            </w:pPr>
            <w:r>
              <w:rPr>
                <w:rFonts w:ascii="Trebuchet MS" w:hAnsi="Trebuchet MS"/>
                <w:b/>
                <w:sz w:val="18"/>
                <w:szCs w:val="18"/>
              </w:rPr>
              <w:t>Liabilities</w:t>
            </w:r>
          </w:p>
        </w:tc>
        <w:tc>
          <w:tcPr>
            <w:tcW w:w="1417" w:type="dxa"/>
            <w:tcBorders>
              <w:top w:val="nil"/>
              <w:bottom w:val="nil"/>
            </w:tcBorders>
            <w:vAlign w:val="bottom"/>
          </w:tcPr>
          <w:p w14:paraId="3D503EEC" w14:textId="77777777" w:rsidR="000D5A86" w:rsidRPr="0012709F" w:rsidRDefault="000D5A86" w:rsidP="00DC7046">
            <w:pPr>
              <w:pStyle w:val="Norml"/>
              <w:widowControl w:val="0"/>
              <w:spacing w:after="0"/>
              <w:ind w:left="-108" w:right="-108"/>
              <w:jc w:val="center"/>
              <w:rPr>
                <w:rFonts w:ascii="Trebuchet MS" w:hAnsi="Trebuchet MS" w:cs="Arial"/>
                <w:color w:val="000000"/>
                <w:sz w:val="18"/>
                <w:szCs w:val="18"/>
              </w:rPr>
            </w:pPr>
          </w:p>
        </w:tc>
        <w:tc>
          <w:tcPr>
            <w:tcW w:w="1701" w:type="dxa"/>
            <w:tcBorders>
              <w:top w:val="nil"/>
              <w:bottom w:val="nil"/>
            </w:tcBorders>
            <w:vAlign w:val="bottom"/>
          </w:tcPr>
          <w:p w14:paraId="4A8AC66A" w14:textId="77777777" w:rsidR="000D5A86" w:rsidRPr="0012709F" w:rsidRDefault="000D5A86" w:rsidP="00DC7046">
            <w:pPr>
              <w:pStyle w:val="Norml"/>
              <w:widowControl w:val="0"/>
              <w:tabs>
                <w:tab w:val="decimal" w:pos="1418"/>
              </w:tabs>
              <w:spacing w:after="0"/>
              <w:rPr>
                <w:rFonts w:ascii="Trebuchet MS" w:hAnsi="Trebuchet MS" w:cs="Arial"/>
                <w:b/>
                <w:color w:val="000000"/>
                <w:sz w:val="18"/>
                <w:szCs w:val="18"/>
                <w:highlight w:val="yellow"/>
              </w:rPr>
            </w:pPr>
          </w:p>
        </w:tc>
        <w:tc>
          <w:tcPr>
            <w:tcW w:w="1701" w:type="dxa"/>
            <w:tcBorders>
              <w:top w:val="nil"/>
              <w:bottom w:val="nil"/>
            </w:tcBorders>
            <w:vAlign w:val="bottom"/>
          </w:tcPr>
          <w:p w14:paraId="48EAB2D0"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highlight w:val="yellow"/>
              </w:rPr>
            </w:pPr>
          </w:p>
        </w:tc>
      </w:tr>
      <w:tr w:rsidR="000D5A86" w:rsidRPr="0012709F" w14:paraId="3C246CCC" w14:textId="77777777" w:rsidTr="00DC7046">
        <w:trPr>
          <w:trHeight w:val="234"/>
          <w:jc w:val="center"/>
        </w:trPr>
        <w:tc>
          <w:tcPr>
            <w:tcW w:w="4395" w:type="dxa"/>
            <w:tcBorders>
              <w:top w:val="nil"/>
              <w:bottom w:val="nil"/>
            </w:tcBorders>
            <w:vAlign w:val="bottom"/>
          </w:tcPr>
          <w:p w14:paraId="5853BF66" w14:textId="77777777" w:rsidR="000D5A86" w:rsidRPr="0012709F" w:rsidRDefault="000D5A86" w:rsidP="00DC7046">
            <w:pPr>
              <w:pStyle w:val="Norml"/>
              <w:widowControl w:val="0"/>
              <w:spacing w:after="0"/>
              <w:ind w:left="5" w:right="-108" w:hanging="113"/>
              <w:rPr>
                <w:rFonts w:ascii="Trebuchet MS" w:hAnsi="Trebuchet MS" w:cs="Arial"/>
                <w:sz w:val="18"/>
                <w:szCs w:val="18"/>
              </w:rPr>
            </w:pPr>
            <w:r>
              <w:rPr>
                <w:rFonts w:ascii="Trebuchet MS" w:hAnsi="Trebuchet MS"/>
                <w:color w:val="000000"/>
                <w:sz w:val="18"/>
                <w:szCs w:val="18"/>
              </w:rPr>
              <w:t>Provision for unearned premiums</w:t>
            </w:r>
          </w:p>
        </w:tc>
        <w:tc>
          <w:tcPr>
            <w:tcW w:w="1417" w:type="dxa"/>
            <w:tcBorders>
              <w:top w:val="nil"/>
              <w:bottom w:val="nil"/>
            </w:tcBorders>
            <w:vAlign w:val="bottom"/>
          </w:tcPr>
          <w:p w14:paraId="1FE27E67" w14:textId="2D62ABE9"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17</w:t>
            </w:r>
          </w:p>
        </w:tc>
        <w:tc>
          <w:tcPr>
            <w:tcW w:w="1701" w:type="dxa"/>
            <w:tcBorders>
              <w:top w:val="nil"/>
              <w:bottom w:val="nil"/>
            </w:tcBorders>
            <w:vAlign w:val="bottom"/>
          </w:tcPr>
          <w:p w14:paraId="4F1800CC" w14:textId="596ECCE9"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9,974,959</w:t>
            </w:r>
          </w:p>
        </w:tc>
        <w:tc>
          <w:tcPr>
            <w:tcW w:w="1701" w:type="dxa"/>
            <w:tcBorders>
              <w:top w:val="nil"/>
              <w:bottom w:val="nil"/>
            </w:tcBorders>
            <w:vAlign w:val="bottom"/>
          </w:tcPr>
          <w:p w14:paraId="66E3619B"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8,804,895</w:t>
            </w:r>
          </w:p>
        </w:tc>
      </w:tr>
      <w:tr w:rsidR="000D5A86" w:rsidRPr="0012709F" w14:paraId="5FCD6DA9" w14:textId="77777777" w:rsidTr="00DC7046">
        <w:trPr>
          <w:trHeight w:val="234"/>
          <w:jc w:val="center"/>
        </w:trPr>
        <w:tc>
          <w:tcPr>
            <w:tcW w:w="4395" w:type="dxa"/>
            <w:tcBorders>
              <w:top w:val="nil"/>
              <w:bottom w:val="nil"/>
            </w:tcBorders>
            <w:vAlign w:val="bottom"/>
          </w:tcPr>
          <w:p w14:paraId="5C6EA0C1" w14:textId="77777777" w:rsidR="000D5A86" w:rsidRPr="0012709F" w:rsidRDefault="000D5A86" w:rsidP="00DC7046">
            <w:pPr>
              <w:pStyle w:val="Norml"/>
              <w:widowControl w:val="0"/>
              <w:spacing w:after="0"/>
              <w:ind w:left="5" w:right="-108" w:hanging="113"/>
              <w:rPr>
                <w:rFonts w:ascii="Trebuchet MS" w:hAnsi="Trebuchet MS"/>
                <w:color w:val="000000"/>
                <w:sz w:val="18"/>
                <w:szCs w:val="18"/>
              </w:rPr>
            </w:pPr>
            <w:r>
              <w:rPr>
                <w:rFonts w:ascii="Trebuchet MS" w:hAnsi="Trebuchet MS"/>
                <w:color w:val="000000"/>
                <w:sz w:val="18"/>
                <w:szCs w:val="18"/>
              </w:rPr>
              <w:t>Provision for claims</w:t>
            </w:r>
          </w:p>
        </w:tc>
        <w:tc>
          <w:tcPr>
            <w:tcW w:w="1417" w:type="dxa"/>
            <w:tcBorders>
              <w:top w:val="nil"/>
              <w:bottom w:val="nil"/>
            </w:tcBorders>
            <w:vAlign w:val="bottom"/>
          </w:tcPr>
          <w:p w14:paraId="1B19F35E" w14:textId="2009F796"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18</w:t>
            </w:r>
          </w:p>
        </w:tc>
        <w:tc>
          <w:tcPr>
            <w:tcW w:w="1701" w:type="dxa"/>
            <w:tcBorders>
              <w:top w:val="nil"/>
              <w:bottom w:val="nil"/>
            </w:tcBorders>
            <w:vAlign w:val="bottom"/>
          </w:tcPr>
          <w:p w14:paraId="4D9A1C2A" w14:textId="67868827"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1,526,644</w:t>
            </w:r>
          </w:p>
        </w:tc>
        <w:tc>
          <w:tcPr>
            <w:tcW w:w="1701" w:type="dxa"/>
            <w:tcBorders>
              <w:top w:val="nil"/>
              <w:bottom w:val="nil"/>
            </w:tcBorders>
            <w:vAlign w:val="bottom"/>
          </w:tcPr>
          <w:p w14:paraId="2C3747E2"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1,158,486</w:t>
            </w:r>
          </w:p>
        </w:tc>
      </w:tr>
      <w:tr w:rsidR="005C554F" w:rsidRPr="0012709F" w14:paraId="0576C7C3" w14:textId="77777777" w:rsidTr="00DC7046">
        <w:trPr>
          <w:trHeight w:val="234"/>
          <w:jc w:val="center"/>
        </w:trPr>
        <w:tc>
          <w:tcPr>
            <w:tcW w:w="4395" w:type="dxa"/>
            <w:tcBorders>
              <w:top w:val="nil"/>
              <w:bottom w:val="nil"/>
            </w:tcBorders>
            <w:vAlign w:val="bottom"/>
          </w:tcPr>
          <w:p w14:paraId="34F6F8D7" w14:textId="2E2A1B97" w:rsidR="005C554F" w:rsidRDefault="005C554F" w:rsidP="00DC7046">
            <w:pPr>
              <w:pStyle w:val="Norml"/>
              <w:widowControl w:val="0"/>
              <w:spacing w:after="0"/>
              <w:ind w:left="5" w:right="-108" w:hanging="113"/>
              <w:rPr>
                <w:rFonts w:ascii="Trebuchet MS" w:hAnsi="Trebuchet MS"/>
                <w:color w:val="000000"/>
                <w:sz w:val="18"/>
                <w:szCs w:val="18"/>
              </w:rPr>
            </w:pPr>
            <w:r w:rsidRPr="005C554F">
              <w:rPr>
                <w:rFonts w:ascii="Trebuchet MS" w:hAnsi="Trebuchet MS"/>
                <w:color w:val="000000"/>
                <w:sz w:val="18"/>
                <w:szCs w:val="18"/>
              </w:rPr>
              <w:t>Lease liabilities</w:t>
            </w:r>
          </w:p>
        </w:tc>
        <w:tc>
          <w:tcPr>
            <w:tcW w:w="1417" w:type="dxa"/>
            <w:tcBorders>
              <w:top w:val="nil"/>
              <w:bottom w:val="nil"/>
            </w:tcBorders>
            <w:vAlign w:val="bottom"/>
          </w:tcPr>
          <w:p w14:paraId="01B5254E" w14:textId="77777777" w:rsidR="005C554F" w:rsidRPr="0012709F" w:rsidRDefault="005C554F" w:rsidP="00DC7046">
            <w:pPr>
              <w:pStyle w:val="Norml"/>
              <w:widowControl w:val="0"/>
              <w:spacing w:after="0"/>
              <w:ind w:left="-108" w:right="-108"/>
              <w:jc w:val="center"/>
              <w:rPr>
                <w:rFonts w:ascii="Trebuchet MS" w:hAnsi="Trebuchet MS" w:cs="Arial"/>
                <w:sz w:val="18"/>
                <w:szCs w:val="18"/>
              </w:rPr>
            </w:pPr>
          </w:p>
        </w:tc>
        <w:tc>
          <w:tcPr>
            <w:tcW w:w="1701" w:type="dxa"/>
            <w:tcBorders>
              <w:top w:val="nil"/>
              <w:bottom w:val="nil"/>
            </w:tcBorders>
            <w:vAlign w:val="bottom"/>
          </w:tcPr>
          <w:p w14:paraId="1D64C29B" w14:textId="18065E08" w:rsidR="005C554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139,601</w:t>
            </w:r>
          </w:p>
        </w:tc>
        <w:tc>
          <w:tcPr>
            <w:tcW w:w="1701" w:type="dxa"/>
            <w:tcBorders>
              <w:top w:val="nil"/>
              <w:bottom w:val="nil"/>
            </w:tcBorders>
            <w:vAlign w:val="bottom"/>
          </w:tcPr>
          <w:p w14:paraId="3D8A80AA" w14:textId="47521A52" w:rsidR="005C554F" w:rsidRPr="00916316" w:rsidRDefault="005C554F"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w:t>
            </w:r>
          </w:p>
        </w:tc>
      </w:tr>
      <w:tr w:rsidR="000D5A86" w:rsidRPr="0012709F" w14:paraId="5A22F0B0" w14:textId="77777777" w:rsidTr="00DC7046">
        <w:trPr>
          <w:trHeight w:val="234"/>
          <w:jc w:val="center"/>
        </w:trPr>
        <w:tc>
          <w:tcPr>
            <w:tcW w:w="4395" w:type="dxa"/>
            <w:tcBorders>
              <w:top w:val="nil"/>
              <w:bottom w:val="nil"/>
            </w:tcBorders>
            <w:vAlign w:val="bottom"/>
          </w:tcPr>
          <w:p w14:paraId="66F4CDF3" w14:textId="77777777" w:rsidR="000D5A86" w:rsidRPr="0012709F" w:rsidRDefault="000D5A86" w:rsidP="00DC7046">
            <w:pPr>
              <w:pStyle w:val="Norml"/>
              <w:widowControl w:val="0"/>
              <w:spacing w:after="0"/>
              <w:ind w:left="5" w:right="-108" w:hanging="113"/>
              <w:rPr>
                <w:rFonts w:ascii="Trebuchet MS" w:hAnsi="Trebuchet MS"/>
                <w:color w:val="000000"/>
                <w:sz w:val="18"/>
                <w:szCs w:val="18"/>
              </w:rPr>
            </w:pPr>
            <w:r>
              <w:rPr>
                <w:rFonts w:ascii="Trebuchet MS" w:hAnsi="Trebuchet MS"/>
                <w:color w:val="000000"/>
                <w:sz w:val="18"/>
                <w:szCs w:val="18"/>
              </w:rPr>
              <w:t>Payables</w:t>
            </w:r>
          </w:p>
        </w:tc>
        <w:tc>
          <w:tcPr>
            <w:tcW w:w="1417" w:type="dxa"/>
            <w:tcBorders>
              <w:top w:val="nil"/>
              <w:bottom w:val="nil"/>
            </w:tcBorders>
            <w:vAlign w:val="bottom"/>
          </w:tcPr>
          <w:p w14:paraId="588DD026" w14:textId="7E8CE477"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19</w:t>
            </w:r>
          </w:p>
        </w:tc>
        <w:tc>
          <w:tcPr>
            <w:tcW w:w="1701" w:type="dxa"/>
            <w:tcBorders>
              <w:top w:val="nil"/>
              <w:bottom w:val="nil"/>
            </w:tcBorders>
            <w:vAlign w:val="bottom"/>
          </w:tcPr>
          <w:p w14:paraId="537718B8" w14:textId="71E11324"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477,784</w:t>
            </w:r>
          </w:p>
        </w:tc>
        <w:tc>
          <w:tcPr>
            <w:tcW w:w="1701" w:type="dxa"/>
            <w:tcBorders>
              <w:top w:val="nil"/>
              <w:bottom w:val="nil"/>
            </w:tcBorders>
            <w:vAlign w:val="bottom"/>
          </w:tcPr>
          <w:p w14:paraId="1AFC3FA9"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384,919</w:t>
            </w:r>
          </w:p>
        </w:tc>
      </w:tr>
      <w:tr w:rsidR="000D5A86" w:rsidRPr="0012709F" w14:paraId="445CE4D0" w14:textId="77777777" w:rsidTr="00DC7046">
        <w:trPr>
          <w:trHeight w:val="234"/>
          <w:jc w:val="center"/>
        </w:trPr>
        <w:tc>
          <w:tcPr>
            <w:tcW w:w="4395" w:type="dxa"/>
            <w:tcBorders>
              <w:top w:val="nil"/>
              <w:bottom w:val="nil"/>
            </w:tcBorders>
            <w:vAlign w:val="bottom"/>
          </w:tcPr>
          <w:p w14:paraId="097875EB" w14:textId="77777777" w:rsidR="000D5A86" w:rsidRPr="0012709F" w:rsidRDefault="000D5A86" w:rsidP="00DC7046">
            <w:pPr>
              <w:pStyle w:val="Norml"/>
              <w:widowControl w:val="0"/>
              <w:spacing w:after="0"/>
              <w:ind w:left="5" w:right="-108" w:hanging="113"/>
              <w:rPr>
                <w:rFonts w:ascii="Trebuchet MS" w:hAnsi="Trebuchet MS" w:cs="Arial"/>
                <w:color w:val="000000"/>
                <w:sz w:val="18"/>
                <w:szCs w:val="18"/>
              </w:rPr>
            </w:pPr>
            <w:r>
              <w:rPr>
                <w:rFonts w:ascii="Trebuchet MS" w:hAnsi="Trebuchet MS"/>
                <w:color w:val="000000"/>
                <w:sz w:val="18"/>
                <w:szCs w:val="18"/>
              </w:rPr>
              <w:t>Deferred commission income</w:t>
            </w:r>
          </w:p>
        </w:tc>
        <w:tc>
          <w:tcPr>
            <w:tcW w:w="1417" w:type="dxa"/>
            <w:tcBorders>
              <w:top w:val="nil"/>
              <w:bottom w:val="nil"/>
            </w:tcBorders>
            <w:vAlign w:val="bottom"/>
          </w:tcPr>
          <w:p w14:paraId="6D507403" w14:textId="05D65998"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20</w:t>
            </w:r>
          </w:p>
        </w:tc>
        <w:tc>
          <w:tcPr>
            <w:tcW w:w="1701" w:type="dxa"/>
            <w:tcBorders>
              <w:top w:val="nil"/>
              <w:bottom w:val="nil"/>
            </w:tcBorders>
            <w:vAlign w:val="bottom"/>
          </w:tcPr>
          <w:p w14:paraId="427F8768" w14:textId="03B92EC9"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79,254</w:t>
            </w:r>
          </w:p>
        </w:tc>
        <w:tc>
          <w:tcPr>
            <w:tcW w:w="1701" w:type="dxa"/>
            <w:tcBorders>
              <w:top w:val="nil"/>
              <w:bottom w:val="nil"/>
            </w:tcBorders>
            <w:vAlign w:val="bottom"/>
          </w:tcPr>
          <w:p w14:paraId="317A8569"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59,451</w:t>
            </w:r>
          </w:p>
        </w:tc>
      </w:tr>
      <w:tr w:rsidR="000D5A86" w:rsidRPr="0012709F" w14:paraId="6ED3E6C2" w14:textId="77777777" w:rsidTr="00DC7046">
        <w:trPr>
          <w:trHeight w:val="234"/>
          <w:jc w:val="center"/>
        </w:trPr>
        <w:tc>
          <w:tcPr>
            <w:tcW w:w="4395" w:type="dxa"/>
            <w:tcBorders>
              <w:top w:val="nil"/>
              <w:bottom w:val="nil"/>
            </w:tcBorders>
            <w:vAlign w:val="bottom"/>
          </w:tcPr>
          <w:p w14:paraId="34249260" w14:textId="77777777" w:rsidR="000D5A86" w:rsidRDefault="000D5A86" w:rsidP="00DC7046">
            <w:pPr>
              <w:pStyle w:val="Norml"/>
              <w:widowControl w:val="0"/>
              <w:spacing w:after="0"/>
              <w:ind w:left="5" w:right="-108" w:hanging="113"/>
              <w:rPr>
                <w:rFonts w:ascii="Trebuchet MS" w:hAnsi="Trebuchet MS"/>
                <w:color w:val="000000"/>
                <w:sz w:val="18"/>
                <w:szCs w:val="18"/>
              </w:rPr>
            </w:pPr>
            <w:r>
              <w:rPr>
                <w:rFonts w:ascii="Trebuchet MS" w:hAnsi="Trebuchet MS"/>
                <w:color w:val="000000"/>
                <w:sz w:val="18"/>
                <w:szCs w:val="18"/>
              </w:rPr>
              <w:t>Income tax payable</w:t>
            </w:r>
          </w:p>
        </w:tc>
        <w:tc>
          <w:tcPr>
            <w:tcW w:w="1417" w:type="dxa"/>
            <w:tcBorders>
              <w:top w:val="nil"/>
              <w:bottom w:val="nil"/>
            </w:tcBorders>
            <w:vAlign w:val="bottom"/>
          </w:tcPr>
          <w:p w14:paraId="7A104D4E" w14:textId="77777777" w:rsidR="000D5A86" w:rsidRPr="0012709F" w:rsidRDefault="000D5A86" w:rsidP="00DC7046">
            <w:pPr>
              <w:pStyle w:val="Norml"/>
              <w:widowControl w:val="0"/>
              <w:spacing w:after="0"/>
              <w:ind w:left="-108" w:right="-108"/>
              <w:jc w:val="center"/>
              <w:rPr>
                <w:rFonts w:ascii="Trebuchet MS" w:hAnsi="Trebuchet MS" w:cs="Arial"/>
                <w:sz w:val="18"/>
                <w:szCs w:val="18"/>
              </w:rPr>
            </w:pPr>
          </w:p>
        </w:tc>
        <w:tc>
          <w:tcPr>
            <w:tcW w:w="1701" w:type="dxa"/>
            <w:tcBorders>
              <w:top w:val="nil"/>
              <w:bottom w:val="nil"/>
            </w:tcBorders>
            <w:vAlign w:val="bottom"/>
          </w:tcPr>
          <w:p w14:paraId="5E72A0C5" w14:textId="72448D10"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w:t>
            </w:r>
          </w:p>
        </w:tc>
        <w:tc>
          <w:tcPr>
            <w:tcW w:w="1701" w:type="dxa"/>
            <w:tcBorders>
              <w:top w:val="nil"/>
              <w:bottom w:val="nil"/>
            </w:tcBorders>
            <w:vAlign w:val="bottom"/>
          </w:tcPr>
          <w:p w14:paraId="6E8E9415"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141,782</w:t>
            </w:r>
          </w:p>
        </w:tc>
      </w:tr>
      <w:tr w:rsidR="000D5A86" w:rsidRPr="0012709F" w14:paraId="133722FA" w14:textId="77777777" w:rsidTr="00DC7046">
        <w:trPr>
          <w:trHeight w:val="210"/>
          <w:jc w:val="center"/>
        </w:trPr>
        <w:tc>
          <w:tcPr>
            <w:tcW w:w="4395" w:type="dxa"/>
            <w:tcBorders>
              <w:top w:val="nil"/>
              <w:bottom w:val="nil"/>
            </w:tcBorders>
            <w:vAlign w:val="bottom"/>
          </w:tcPr>
          <w:p w14:paraId="52488781" w14:textId="77777777" w:rsidR="000D5A86" w:rsidRPr="0012709F" w:rsidRDefault="000D5A86" w:rsidP="00DC7046">
            <w:pPr>
              <w:pStyle w:val="Norml"/>
              <w:widowControl w:val="0"/>
              <w:spacing w:after="0"/>
              <w:ind w:left="5" w:right="-108" w:hanging="113"/>
              <w:rPr>
                <w:rFonts w:ascii="Trebuchet MS" w:hAnsi="Trebuchet MS" w:cs="Arial"/>
                <w:color w:val="000000"/>
                <w:sz w:val="18"/>
                <w:szCs w:val="18"/>
              </w:rPr>
            </w:pPr>
            <w:r>
              <w:rPr>
                <w:rFonts w:ascii="Trebuchet MS" w:hAnsi="Trebuchet MS"/>
                <w:color w:val="000000"/>
                <w:sz w:val="18"/>
                <w:szCs w:val="18"/>
              </w:rPr>
              <w:t>Taxes payable other than income tax</w:t>
            </w:r>
          </w:p>
        </w:tc>
        <w:tc>
          <w:tcPr>
            <w:tcW w:w="1417" w:type="dxa"/>
            <w:tcBorders>
              <w:top w:val="nil"/>
              <w:bottom w:val="nil"/>
            </w:tcBorders>
            <w:vAlign w:val="bottom"/>
          </w:tcPr>
          <w:p w14:paraId="43833069" w14:textId="77777777" w:rsidR="000D5A86" w:rsidRPr="0012709F" w:rsidRDefault="000D5A86" w:rsidP="00DC7046">
            <w:pPr>
              <w:pStyle w:val="Norml"/>
              <w:widowControl w:val="0"/>
              <w:spacing w:after="0"/>
              <w:ind w:left="-108" w:right="-108"/>
              <w:jc w:val="center"/>
              <w:rPr>
                <w:rFonts w:ascii="Trebuchet MS" w:hAnsi="Trebuchet MS" w:cs="Arial"/>
                <w:sz w:val="18"/>
                <w:szCs w:val="18"/>
              </w:rPr>
            </w:pPr>
          </w:p>
        </w:tc>
        <w:tc>
          <w:tcPr>
            <w:tcW w:w="1701" w:type="dxa"/>
            <w:tcBorders>
              <w:top w:val="nil"/>
              <w:bottom w:val="nil"/>
            </w:tcBorders>
            <w:vAlign w:val="bottom"/>
          </w:tcPr>
          <w:p w14:paraId="1AE5101A" w14:textId="7BF92D6F"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11,830</w:t>
            </w:r>
          </w:p>
        </w:tc>
        <w:tc>
          <w:tcPr>
            <w:tcW w:w="1701" w:type="dxa"/>
            <w:tcBorders>
              <w:top w:val="nil"/>
              <w:bottom w:val="nil"/>
            </w:tcBorders>
            <w:vAlign w:val="bottom"/>
          </w:tcPr>
          <w:p w14:paraId="60A774C2"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22,819</w:t>
            </w:r>
          </w:p>
        </w:tc>
      </w:tr>
      <w:tr w:rsidR="000D5A86" w:rsidRPr="0012709F" w14:paraId="2AD69FB3" w14:textId="77777777" w:rsidTr="00DC7046">
        <w:trPr>
          <w:trHeight w:val="210"/>
          <w:jc w:val="center"/>
        </w:trPr>
        <w:tc>
          <w:tcPr>
            <w:tcW w:w="4395" w:type="dxa"/>
            <w:tcBorders>
              <w:top w:val="nil"/>
              <w:bottom w:val="single" w:sz="4" w:space="0" w:color="auto"/>
            </w:tcBorders>
            <w:vAlign w:val="bottom"/>
          </w:tcPr>
          <w:p w14:paraId="454584E5" w14:textId="77777777" w:rsidR="000D5A86" w:rsidRPr="0012709F" w:rsidRDefault="000D5A86" w:rsidP="00DC7046">
            <w:pPr>
              <w:pStyle w:val="Norml"/>
              <w:widowControl w:val="0"/>
              <w:spacing w:after="0"/>
              <w:ind w:left="5" w:right="-108" w:hanging="113"/>
              <w:rPr>
                <w:rFonts w:ascii="Trebuchet MS" w:hAnsi="Trebuchet MS" w:cs="Arial"/>
                <w:color w:val="000000"/>
                <w:sz w:val="18"/>
                <w:szCs w:val="18"/>
              </w:rPr>
            </w:pPr>
            <w:r>
              <w:rPr>
                <w:rFonts w:ascii="Trebuchet MS" w:hAnsi="Trebuchet MS"/>
                <w:color w:val="000000"/>
                <w:sz w:val="18"/>
                <w:szCs w:val="18"/>
              </w:rPr>
              <w:t>Other liabilities</w:t>
            </w:r>
          </w:p>
        </w:tc>
        <w:tc>
          <w:tcPr>
            <w:tcW w:w="1417" w:type="dxa"/>
            <w:tcBorders>
              <w:top w:val="nil"/>
              <w:bottom w:val="single" w:sz="4" w:space="0" w:color="auto"/>
            </w:tcBorders>
            <w:vAlign w:val="bottom"/>
          </w:tcPr>
          <w:p w14:paraId="17082840" w14:textId="74DD4BB7" w:rsidR="000D5A86" w:rsidRPr="0012709F" w:rsidRDefault="008F38F1" w:rsidP="00DC7046">
            <w:pPr>
              <w:pStyle w:val="Norml"/>
              <w:widowControl w:val="0"/>
              <w:spacing w:after="0"/>
              <w:ind w:left="-108" w:right="-108"/>
              <w:jc w:val="center"/>
              <w:rPr>
                <w:rFonts w:ascii="Trebuchet MS" w:hAnsi="Trebuchet MS" w:cs="Arial"/>
                <w:b/>
                <w:sz w:val="18"/>
                <w:szCs w:val="18"/>
              </w:rPr>
            </w:pPr>
            <w:r>
              <w:rPr>
                <w:rFonts w:ascii="Trebuchet MS" w:hAnsi="Trebuchet MS" w:cs="Arial"/>
                <w:b/>
                <w:sz w:val="18"/>
                <w:szCs w:val="18"/>
              </w:rPr>
              <w:t>21</w:t>
            </w:r>
          </w:p>
        </w:tc>
        <w:tc>
          <w:tcPr>
            <w:tcW w:w="1701" w:type="dxa"/>
            <w:tcBorders>
              <w:top w:val="nil"/>
              <w:bottom w:val="single" w:sz="4" w:space="0" w:color="auto"/>
            </w:tcBorders>
            <w:vAlign w:val="bottom"/>
          </w:tcPr>
          <w:p w14:paraId="2EFCD7AC" w14:textId="18FA4343" w:rsidR="000D5A86" w:rsidRPr="0012709F" w:rsidRDefault="005C554F"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188,</w:t>
            </w:r>
            <w:r w:rsidR="00916316">
              <w:rPr>
                <w:rFonts w:ascii="Trebuchet MS" w:hAnsi="Trebuchet MS" w:cs="Arial"/>
                <w:b/>
                <w:color w:val="000000"/>
                <w:sz w:val="18"/>
                <w:szCs w:val="18"/>
              </w:rPr>
              <w:t>183</w:t>
            </w:r>
          </w:p>
        </w:tc>
        <w:tc>
          <w:tcPr>
            <w:tcW w:w="1701" w:type="dxa"/>
            <w:tcBorders>
              <w:top w:val="nil"/>
              <w:bottom w:val="single" w:sz="4" w:space="0" w:color="auto"/>
            </w:tcBorders>
            <w:vAlign w:val="bottom"/>
          </w:tcPr>
          <w:p w14:paraId="34EAB2B5"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195,792</w:t>
            </w:r>
          </w:p>
        </w:tc>
      </w:tr>
      <w:tr w:rsidR="000D5A86" w:rsidRPr="0012709F" w14:paraId="3ABF7197" w14:textId="77777777" w:rsidTr="00DC7046">
        <w:trPr>
          <w:trHeight w:val="277"/>
          <w:jc w:val="center"/>
        </w:trPr>
        <w:tc>
          <w:tcPr>
            <w:tcW w:w="4395" w:type="dxa"/>
            <w:tcBorders>
              <w:top w:val="single" w:sz="4" w:space="0" w:color="auto"/>
              <w:bottom w:val="double" w:sz="4" w:space="0" w:color="auto"/>
            </w:tcBorders>
            <w:vAlign w:val="bottom"/>
          </w:tcPr>
          <w:p w14:paraId="06B9569F" w14:textId="77777777" w:rsidR="000D5A86" w:rsidRPr="0012709F" w:rsidRDefault="000D5A86" w:rsidP="00DC7046">
            <w:pPr>
              <w:pStyle w:val="Norml"/>
              <w:widowControl w:val="0"/>
              <w:spacing w:after="0"/>
              <w:ind w:left="5" w:right="-108" w:hanging="113"/>
              <w:rPr>
                <w:rFonts w:ascii="Trebuchet MS" w:hAnsi="Trebuchet MS" w:cs="Arial"/>
                <w:b/>
                <w:color w:val="000000"/>
                <w:sz w:val="18"/>
                <w:szCs w:val="18"/>
              </w:rPr>
            </w:pPr>
            <w:r w:rsidRPr="0012709F">
              <w:rPr>
                <w:rFonts w:ascii="Trebuchet MS" w:hAnsi="Trebuchet MS"/>
                <w:b/>
                <w:color w:val="000000"/>
                <w:sz w:val="18"/>
                <w:szCs w:val="18"/>
              </w:rPr>
              <w:t xml:space="preserve">Total </w:t>
            </w:r>
            <w:r>
              <w:rPr>
                <w:rFonts w:ascii="Trebuchet MS" w:hAnsi="Trebuchet MS"/>
                <w:b/>
                <w:color w:val="000000"/>
                <w:sz w:val="18"/>
                <w:szCs w:val="18"/>
              </w:rPr>
              <w:t>liabilities</w:t>
            </w:r>
          </w:p>
        </w:tc>
        <w:tc>
          <w:tcPr>
            <w:tcW w:w="1417" w:type="dxa"/>
            <w:tcBorders>
              <w:top w:val="single" w:sz="4" w:space="0" w:color="auto"/>
              <w:bottom w:val="double" w:sz="4" w:space="0" w:color="auto"/>
            </w:tcBorders>
            <w:vAlign w:val="bottom"/>
          </w:tcPr>
          <w:p w14:paraId="0F3CB4E8" w14:textId="77777777" w:rsidR="000D5A86" w:rsidRPr="0012709F" w:rsidRDefault="000D5A86" w:rsidP="00DC7046">
            <w:pPr>
              <w:pStyle w:val="Norml"/>
              <w:widowControl w:val="0"/>
              <w:spacing w:after="0"/>
              <w:ind w:left="-108" w:right="-108"/>
              <w:jc w:val="center"/>
              <w:rPr>
                <w:rFonts w:ascii="Trebuchet MS" w:hAnsi="Trebuchet MS" w:cs="Arial"/>
                <w:smallCaps/>
                <w:sz w:val="18"/>
                <w:szCs w:val="18"/>
              </w:rPr>
            </w:pPr>
          </w:p>
        </w:tc>
        <w:tc>
          <w:tcPr>
            <w:tcW w:w="1701" w:type="dxa"/>
            <w:tcBorders>
              <w:top w:val="single" w:sz="4" w:space="0" w:color="auto"/>
              <w:bottom w:val="double" w:sz="4" w:space="0" w:color="auto"/>
            </w:tcBorders>
            <w:vAlign w:val="bottom"/>
          </w:tcPr>
          <w:p w14:paraId="26F4E307" w14:textId="506A9651" w:rsidR="000D5A86" w:rsidRPr="0090580A" w:rsidRDefault="00916316" w:rsidP="00DC7046">
            <w:pPr>
              <w:pStyle w:val="Norml"/>
              <w:widowControl w:val="0"/>
              <w:tabs>
                <w:tab w:val="decimal" w:pos="1418"/>
              </w:tabs>
              <w:spacing w:after="0"/>
              <w:rPr>
                <w:rFonts w:ascii="Trebuchet MS" w:hAnsi="Trebuchet MS" w:cs="Arial"/>
                <w:b/>
                <w:bCs/>
                <w:color w:val="000000"/>
                <w:sz w:val="18"/>
                <w:szCs w:val="18"/>
              </w:rPr>
            </w:pPr>
            <w:r>
              <w:rPr>
                <w:rFonts w:ascii="Trebuchet MS" w:hAnsi="Trebuchet MS" w:cs="Arial"/>
                <w:b/>
                <w:bCs/>
                <w:color w:val="000000"/>
                <w:sz w:val="18"/>
                <w:szCs w:val="18"/>
              </w:rPr>
              <w:t>12,398,225</w:t>
            </w:r>
          </w:p>
        </w:tc>
        <w:tc>
          <w:tcPr>
            <w:tcW w:w="1701" w:type="dxa"/>
            <w:tcBorders>
              <w:top w:val="single" w:sz="4" w:space="0" w:color="auto"/>
              <w:bottom w:val="double" w:sz="4" w:space="0" w:color="auto"/>
            </w:tcBorders>
            <w:vAlign w:val="bottom"/>
          </w:tcPr>
          <w:p w14:paraId="1BB6469B"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10,768,144</w:t>
            </w:r>
          </w:p>
        </w:tc>
      </w:tr>
      <w:tr w:rsidR="000D5A86" w:rsidRPr="0012709F" w14:paraId="5556F86C" w14:textId="77777777" w:rsidTr="00DC7046">
        <w:trPr>
          <w:trHeight w:val="210"/>
          <w:jc w:val="center"/>
        </w:trPr>
        <w:tc>
          <w:tcPr>
            <w:tcW w:w="4395" w:type="dxa"/>
            <w:tcBorders>
              <w:top w:val="double" w:sz="4" w:space="0" w:color="auto"/>
              <w:bottom w:val="nil"/>
            </w:tcBorders>
            <w:vAlign w:val="bottom"/>
          </w:tcPr>
          <w:p w14:paraId="156025B7" w14:textId="77777777" w:rsidR="000D5A86" w:rsidRPr="0012709F" w:rsidRDefault="000D5A86" w:rsidP="00DC7046">
            <w:pPr>
              <w:pStyle w:val="Norml"/>
              <w:widowControl w:val="0"/>
              <w:spacing w:after="0"/>
              <w:ind w:left="5" w:right="-108" w:hanging="113"/>
              <w:rPr>
                <w:rFonts w:ascii="Trebuchet MS" w:hAnsi="Trebuchet MS" w:cs="Arial"/>
                <w:b/>
                <w:caps/>
                <w:color w:val="000000"/>
                <w:sz w:val="18"/>
                <w:szCs w:val="18"/>
              </w:rPr>
            </w:pPr>
            <w:r w:rsidRPr="0012709F">
              <w:rPr>
                <w:rFonts w:ascii="Trebuchet MS" w:hAnsi="Trebuchet MS"/>
                <w:b/>
                <w:caps/>
                <w:color w:val="000000"/>
                <w:sz w:val="18"/>
                <w:szCs w:val="18"/>
              </w:rPr>
              <w:t xml:space="preserve"> </w:t>
            </w:r>
          </w:p>
        </w:tc>
        <w:tc>
          <w:tcPr>
            <w:tcW w:w="1417" w:type="dxa"/>
            <w:tcBorders>
              <w:top w:val="double" w:sz="4" w:space="0" w:color="auto"/>
              <w:bottom w:val="nil"/>
            </w:tcBorders>
            <w:vAlign w:val="bottom"/>
          </w:tcPr>
          <w:p w14:paraId="24939CCC" w14:textId="77777777" w:rsidR="000D5A86" w:rsidRPr="0012709F" w:rsidRDefault="000D5A86" w:rsidP="00DC7046">
            <w:pPr>
              <w:pStyle w:val="Norml"/>
              <w:widowControl w:val="0"/>
              <w:spacing w:after="0"/>
              <w:ind w:left="-108" w:right="-108"/>
              <w:jc w:val="center"/>
              <w:rPr>
                <w:rFonts w:ascii="Trebuchet MS" w:hAnsi="Trebuchet MS" w:cs="Arial"/>
                <w:b/>
                <w:caps/>
                <w:color w:val="000000"/>
                <w:sz w:val="18"/>
                <w:szCs w:val="18"/>
              </w:rPr>
            </w:pPr>
          </w:p>
        </w:tc>
        <w:tc>
          <w:tcPr>
            <w:tcW w:w="1701" w:type="dxa"/>
            <w:tcBorders>
              <w:top w:val="double" w:sz="4" w:space="0" w:color="auto"/>
              <w:bottom w:val="nil"/>
            </w:tcBorders>
            <w:vAlign w:val="bottom"/>
          </w:tcPr>
          <w:p w14:paraId="4DF3043E" w14:textId="77777777" w:rsidR="000D5A86" w:rsidRPr="0012709F" w:rsidRDefault="000D5A86" w:rsidP="00DC7046">
            <w:pPr>
              <w:pStyle w:val="Norml"/>
              <w:widowControl w:val="0"/>
              <w:tabs>
                <w:tab w:val="decimal" w:pos="1418"/>
              </w:tabs>
              <w:spacing w:after="0"/>
              <w:rPr>
                <w:rFonts w:ascii="Trebuchet MS" w:hAnsi="Trebuchet MS" w:cs="Arial"/>
                <w:b/>
                <w:color w:val="000000"/>
                <w:sz w:val="18"/>
                <w:szCs w:val="18"/>
                <w:highlight w:val="yellow"/>
              </w:rPr>
            </w:pPr>
          </w:p>
        </w:tc>
        <w:tc>
          <w:tcPr>
            <w:tcW w:w="1701" w:type="dxa"/>
            <w:tcBorders>
              <w:top w:val="double" w:sz="4" w:space="0" w:color="auto"/>
              <w:bottom w:val="nil"/>
            </w:tcBorders>
            <w:vAlign w:val="bottom"/>
          </w:tcPr>
          <w:p w14:paraId="7EF698F5"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highlight w:val="yellow"/>
              </w:rPr>
            </w:pPr>
          </w:p>
        </w:tc>
      </w:tr>
      <w:tr w:rsidR="000D5A86" w:rsidRPr="0012709F" w14:paraId="17EC404D" w14:textId="77777777" w:rsidTr="00DC7046">
        <w:trPr>
          <w:trHeight w:val="210"/>
          <w:jc w:val="center"/>
        </w:trPr>
        <w:tc>
          <w:tcPr>
            <w:tcW w:w="4395" w:type="dxa"/>
            <w:tcBorders>
              <w:top w:val="nil"/>
              <w:bottom w:val="nil"/>
            </w:tcBorders>
            <w:vAlign w:val="bottom"/>
          </w:tcPr>
          <w:p w14:paraId="0485262C" w14:textId="77777777" w:rsidR="000D5A86" w:rsidRPr="0012709F" w:rsidRDefault="000D5A86" w:rsidP="00DC7046">
            <w:pPr>
              <w:pStyle w:val="Norml"/>
              <w:widowControl w:val="0"/>
              <w:spacing w:after="0"/>
              <w:ind w:left="5" w:right="-108" w:hanging="113"/>
              <w:rPr>
                <w:rFonts w:ascii="Trebuchet MS" w:hAnsi="Trebuchet MS" w:cs="Arial"/>
                <w:b/>
                <w:kern w:val="16"/>
                <w:sz w:val="18"/>
                <w:szCs w:val="18"/>
              </w:rPr>
            </w:pPr>
            <w:r>
              <w:rPr>
                <w:rFonts w:ascii="Trebuchet MS" w:hAnsi="Trebuchet MS"/>
                <w:b/>
                <w:sz w:val="18"/>
                <w:szCs w:val="18"/>
              </w:rPr>
              <w:t>Equity</w:t>
            </w:r>
          </w:p>
        </w:tc>
        <w:tc>
          <w:tcPr>
            <w:tcW w:w="1417" w:type="dxa"/>
            <w:tcBorders>
              <w:top w:val="nil"/>
              <w:bottom w:val="nil"/>
            </w:tcBorders>
            <w:vAlign w:val="bottom"/>
          </w:tcPr>
          <w:p w14:paraId="03161EC9" w14:textId="77777777" w:rsidR="000D5A86" w:rsidRPr="0012709F" w:rsidRDefault="000D5A86" w:rsidP="00DC7046">
            <w:pPr>
              <w:pStyle w:val="Norml"/>
              <w:widowControl w:val="0"/>
              <w:spacing w:after="0"/>
              <w:ind w:left="-108" w:right="-108"/>
              <w:jc w:val="center"/>
              <w:rPr>
                <w:rFonts w:ascii="Trebuchet MS" w:hAnsi="Trebuchet MS" w:cs="Arial"/>
                <w:kern w:val="16"/>
                <w:sz w:val="18"/>
                <w:szCs w:val="18"/>
              </w:rPr>
            </w:pPr>
          </w:p>
        </w:tc>
        <w:tc>
          <w:tcPr>
            <w:tcW w:w="1701" w:type="dxa"/>
            <w:tcBorders>
              <w:top w:val="nil"/>
              <w:bottom w:val="nil"/>
            </w:tcBorders>
            <w:vAlign w:val="bottom"/>
          </w:tcPr>
          <w:p w14:paraId="02A7AC5C" w14:textId="77777777" w:rsidR="000D5A86" w:rsidRPr="0012709F" w:rsidRDefault="000D5A86" w:rsidP="00DC7046">
            <w:pPr>
              <w:pStyle w:val="Norml"/>
              <w:widowControl w:val="0"/>
              <w:tabs>
                <w:tab w:val="decimal" w:pos="1418"/>
              </w:tabs>
              <w:spacing w:after="0"/>
              <w:rPr>
                <w:rFonts w:ascii="Trebuchet MS" w:hAnsi="Trebuchet MS" w:cs="Arial"/>
                <w:b/>
                <w:color w:val="000000"/>
                <w:sz w:val="18"/>
                <w:szCs w:val="18"/>
                <w:highlight w:val="yellow"/>
              </w:rPr>
            </w:pPr>
          </w:p>
        </w:tc>
        <w:tc>
          <w:tcPr>
            <w:tcW w:w="1701" w:type="dxa"/>
            <w:tcBorders>
              <w:top w:val="nil"/>
              <w:bottom w:val="nil"/>
            </w:tcBorders>
            <w:vAlign w:val="bottom"/>
          </w:tcPr>
          <w:p w14:paraId="758C06C2"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highlight w:val="yellow"/>
              </w:rPr>
            </w:pPr>
          </w:p>
        </w:tc>
      </w:tr>
      <w:tr w:rsidR="000D5A86" w:rsidRPr="0012709F" w14:paraId="645571BB" w14:textId="77777777" w:rsidTr="00DC7046">
        <w:trPr>
          <w:trHeight w:val="210"/>
          <w:jc w:val="center"/>
        </w:trPr>
        <w:tc>
          <w:tcPr>
            <w:tcW w:w="4395" w:type="dxa"/>
            <w:tcBorders>
              <w:top w:val="nil"/>
              <w:bottom w:val="nil"/>
            </w:tcBorders>
            <w:vAlign w:val="bottom"/>
          </w:tcPr>
          <w:p w14:paraId="5D6B97AC" w14:textId="77777777" w:rsidR="000D5A86" w:rsidRPr="0012709F" w:rsidRDefault="000D5A86" w:rsidP="00DC7046">
            <w:pPr>
              <w:pStyle w:val="Norml"/>
              <w:widowControl w:val="0"/>
              <w:spacing w:after="0"/>
              <w:ind w:left="5" w:right="-108" w:hanging="113"/>
              <w:rPr>
                <w:rFonts w:ascii="Trebuchet MS" w:hAnsi="Trebuchet MS" w:cs="Arial"/>
                <w:sz w:val="18"/>
                <w:szCs w:val="18"/>
              </w:rPr>
            </w:pPr>
            <w:r>
              <w:rPr>
                <w:rFonts w:ascii="Trebuchet MS" w:hAnsi="Trebuchet MS"/>
                <w:sz w:val="18"/>
                <w:szCs w:val="18"/>
              </w:rPr>
              <w:t>Share capital</w:t>
            </w:r>
          </w:p>
        </w:tc>
        <w:tc>
          <w:tcPr>
            <w:tcW w:w="1417" w:type="dxa"/>
            <w:tcBorders>
              <w:top w:val="nil"/>
              <w:bottom w:val="nil"/>
            </w:tcBorders>
            <w:vAlign w:val="bottom"/>
          </w:tcPr>
          <w:p w14:paraId="03A68930" w14:textId="0F6D70CA"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22</w:t>
            </w:r>
          </w:p>
        </w:tc>
        <w:tc>
          <w:tcPr>
            <w:tcW w:w="1701" w:type="dxa"/>
            <w:tcBorders>
              <w:top w:val="nil"/>
              <w:bottom w:val="nil"/>
            </w:tcBorders>
            <w:vAlign w:val="bottom"/>
          </w:tcPr>
          <w:p w14:paraId="26E9B8E7" w14:textId="7C2DC30B" w:rsidR="000D5A86" w:rsidRPr="0012709F" w:rsidRDefault="00916316"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10,005,250</w:t>
            </w:r>
          </w:p>
        </w:tc>
        <w:tc>
          <w:tcPr>
            <w:tcW w:w="1701" w:type="dxa"/>
            <w:tcBorders>
              <w:top w:val="nil"/>
              <w:bottom w:val="nil"/>
            </w:tcBorders>
            <w:vAlign w:val="bottom"/>
          </w:tcPr>
          <w:p w14:paraId="6F672DD0"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10,005,250</w:t>
            </w:r>
          </w:p>
        </w:tc>
      </w:tr>
      <w:tr w:rsidR="000D5A86" w:rsidRPr="0012709F" w14:paraId="406A4397" w14:textId="77777777" w:rsidTr="00DC7046">
        <w:trPr>
          <w:trHeight w:val="210"/>
          <w:jc w:val="center"/>
        </w:trPr>
        <w:tc>
          <w:tcPr>
            <w:tcW w:w="4395" w:type="dxa"/>
            <w:tcBorders>
              <w:top w:val="nil"/>
              <w:bottom w:val="nil"/>
            </w:tcBorders>
            <w:vAlign w:val="bottom"/>
          </w:tcPr>
          <w:p w14:paraId="3CF905CD" w14:textId="77777777" w:rsidR="000D5A86" w:rsidRPr="0012709F" w:rsidRDefault="000D5A86" w:rsidP="00DC7046">
            <w:pPr>
              <w:pStyle w:val="Norml"/>
              <w:widowControl w:val="0"/>
              <w:spacing w:after="0"/>
              <w:ind w:left="5" w:right="-108" w:hanging="113"/>
              <w:rPr>
                <w:rFonts w:ascii="Trebuchet MS" w:hAnsi="Trebuchet MS" w:cs="Arial"/>
                <w:sz w:val="18"/>
                <w:szCs w:val="18"/>
              </w:rPr>
            </w:pPr>
            <w:r>
              <w:rPr>
                <w:rFonts w:ascii="Trebuchet MS" w:hAnsi="Trebuchet MS"/>
                <w:color w:val="000000"/>
                <w:sz w:val="18"/>
                <w:szCs w:val="18"/>
              </w:rPr>
              <w:t>Revaluation reserve</w:t>
            </w:r>
          </w:p>
        </w:tc>
        <w:tc>
          <w:tcPr>
            <w:tcW w:w="1417" w:type="dxa"/>
            <w:tcBorders>
              <w:top w:val="nil"/>
              <w:bottom w:val="nil"/>
            </w:tcBorders>
            <w:vAlign w:val="bottom"/>
          </w:tcPr>
          <w:p w14:paraId="38604E68" w14:textId="56530DC5" w:rsidR="000D5A86" w:rsidRPr="0012709F" w:rsidRDefault="008F38F1" w:rsidP="00DC7046">
            <w:pPr>
              <w:pStyle w:val="Norml"/>
              <w:widowControl w:val="0"/>
              <w:spacing w:after="0"/>
              <w:ind w:left="-108" w:right="-108"/>
              <w:jc w:val="center"/>
              <w:rPr>
                <w:rFonts w:ascii="Trebuchet MS" w:hAnsi="Trebuchet MS" w:cs="Arial"/>
                <w:sz w:val="18"/>
                <w:szCs w:val="18"/>
              </w:rPr>
            </w:pPr>
            <w:r>
              <w:rPr>
                <w:rFonts w:ascii="Trebuchet MS" w:hAnsi="Trebuchet MS" w:cs="Arial"/>
                <w:sz w:val="18"/>
                <w:szCs w:val="18"/>
              </w:rPr>
              <w:t>22</w:t>
            </w:r>
          </w:p>
        </w:tc>
        <w:tc>
          <w:tcPr>
            <w:tcW w:w="1701" w:type="dxa"/>
            <w:tcBorders>
              <w:top w:val="nil"/>
              <w:bottom w:val="nil"/>
            </w:tcBorders>
            <w:vAlign w:val="bottom"/>
          </w:tcPr>
          <w:p w14:paraId="61ACC9D1" w14:textId="5BF082BA" w:rsidR="000D5A86" w:rsidRPr="0012709F" w:rsidRDefault="00916316"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61,766</w:t>
            </w:r>
          </w:p>
        </w:tc>
        <w:tc>
          <w:tcPr>
            <w:tcW w:w="1701" w:type="dxa"/>
            <w:tcBorders>
              <w:top w:val="nil"/>
              <w:bottom w:val="nil"/>
            </w:tcBorders>
            <w:vAlign w:val="bottom"/>
          </w:tcPr>
          <w:p w14:paraId="3CC72F31"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66,820</w:t>
            </w:r>
          </w:p>
        </w:tc>
      </w:tr>
      <w:tr w:rsidR="000D5A86" w:rsidRPr="0012709F" w14:paraId="60064824" w14:textId="77777777" w:rsidTr="00DC7046">
        <w:trPr>
          <w:trHeight w:val="210"/>
          <w:jc w:val="center"/>
        </w:trPr>
        <w:tc>
          <w:tcPr>
            <w:tcW w:w="4395" w:type="dxa"/>
            <w:tcBorders>
              <w:top w:val="nil"/>
              <w:bottom w:val="nil"/>
            </w:tcBorders>
            <w:vAlign w:val="bottom"/>
          </w:tcPr>
          <w:p w14:paraId="47AFDB0F" w14:textId="77777777" w:rsidR="000D5A86" w:rsidRPr="0012709F" w:rsidRDefault="000D5A86" w:rsidP="00DC7046">
            <w:pPr>
              <w:pStyle w:val="Norml"/>
              <w:widowControl w:val="0"/>
              <w:spacing w:after="0"/>
              <w:ind w:left="5" w:right="-108" w:hanging="113"/>
              <w:rPr>
                <w:rFonts w:ascii="Trebuchet MS" w:hAnsi="Trebuchet MS" w:cs="Arial"/>
                <w:color w:val="000000"/>
                <w:sz w:val="18"/>
                <w:szCs w:val="18"/>
              </w:rPr>
            </w:pPr>
            <w:r>
              <w:rPr>
                <w:rFonts w:ascii="Trebuchet MS" w:hAnsi="Trebuchet MS"/>
                <w:color w:val="000000"/>
                <w:sz w:val="18"/>
                <w:szCs w:val="18"/>
              </w:rPr>
              <w:t>Retained earnings</w:t>
            </w:r>
          </w:p>
        </w:tc>
        <w:tc>
          <w:tcPr>
            <w:tcW w:w="1417" w:type="dxa"/>
            <w:tcBorders>
              <w:top w:val="nil"/>
              <w:bottom w:val="nil"/>
            </w:tcBorders>
            <w:vAlign w:val="bottom"/>
          </w:tcPr>
          <w:p w14:paraId="4073BB2C" w14:textId="77777777" w:rsidR="000D5A86" w:rsidRPr="0012709F" w:rsidRDefault="000D5A86" w:rsidP="00DC7046">
            <w:pPr>
              <w:pStyle w:val="Norml"/>
              <w:widowControl w:val="0"/>
              <w:spacing w:after="0"/>
              <w:ind w:left="-108" w:right="-108"/>
              <w:jc w:val="center"/>
              <w:rPr>
                <w:rFonts w:ascii="Trebuchet MS" w:hAnsi="Trebuchet MS" w:cs="Arial"/>
                <w:sz w:val="18"/>
                <w:szCs w:val="18"/>
              </w:rPr>
            </w:pPr>
          </w:p>
        </w:tc>
        <w:tc>
          <w:tcPr>
            <w:tcW w:w="1701" w:type="dxa"/>
            <w:tcBorders>
              <w:top w:val="nil"/>
              <w:bottom w:val="nil"/>
            </w:tcBorders>
            <w:vAlign w:val="bottom"/>
          </w:tcPr>
          <w:p w14:paraId="32E04FF7" w14:textId="3E01DCB5" w:rsidR="000D5A86" w:rsidRPr="0012709F" w:rsidRDefault="00916316"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1,429,361</w:t>
            </w:r>
          </w:p>
        </w:tc>
        <w:tc>
          <w:tcPr>
            <w:tcW w:w="1701" w:type="dxa"/>
            <w:tcBorders>
              <w:top w:val="nil"/>
              <w:bottom w:val="nil"/>
            </w:tcBorders>
            <w:vAlign w:val="bottom"/>
          </w:tcPr>
          <w:p w14:paraId="62688D6C"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2,085,874</w:t>
            </w:r>
          </w:p>
        </w:tc>
      </w:tr>
      <w:tr w:rsidR="000D5A86" w:rsidRPr="0012709F" w14:paraId="5C7F13F2" w14:textId="77777777" w:rsidTr="00DC7046">
        <w:trPr>
          <w:trHeight w:val="371"/>
          <w:jc w:val="center"/>
        </w:trPr>
        <w:tc>
          <w:tcPr>
            <w:tcW w:w="4395" w:type="dxa"/>
            <w:tcBorders>
              <w:top w:val="single" w:sz="4" w:space="0" w:color="auto"/>
              <w:bottom w:val="single" w:sz="4" w:space="0" w:color="auto"/>
            </w:tcBorders>
            <w:vAlign w:val="bottom"/>
          </w:tcPr>
          <w:p w14:paraId="6C0A7A19" w14:textId="77777777" w:rsidR="000D5A86" w:rsidRPr="0012709F" w:rsidRDefault="000D5A86" w:rsidP="00DC7046">
            <w:pPr>
              <w:pStyle w:val="Norml"/>
              <w:widowControl w:val="0"/>
              <w:spacing w:after="0"/>
              <w:ind w:left="5" w:right="-108" w:hanging="113"/>
              <w:rPr>
                <w:rFonts w:ascii="Trebuchet MS" w:hAnsi="Trebuchet MS" w:cs="Arial"/>
                <w:kern w:val="16"/>
                <w:sz w:val="18"/>
                <w:szCs w:val="18"/>
              </w:rPr>
            </w:pPr>
            <w:r w:rsidRPr="0012709F">
              <w:rPr>
                <w:rFonts w:ascii="Trebuchet MS" w:hAnsi="Trebuchet MS"/>
                <w:b/>
                <w:sz w:val="18"/>
                <w:szCs w:val="18"/>
              </w:rPr>
              <w:t>Total liabilities</w:t>
            </w:r>
          </w:p>
        </w:tc>
        <w:tc>
          <w:tcPr>
            <w:tcW w:w="1417" w:type="dxa"/>
            <w:tcBorders>
              <w:top w:val="single" w:sz="4" w:space="0" w:color="auto"/>
              <w:bottom w:val="single" w:sz="4" w:space="0" w:color="auto"/>
            </w:tcBorders>
            <w:vAlign w:val="bottom"/>
          </w:tcPr>
          <w:p w14:paraId="68FAF5EF" w14:textId="77777777" w:rsidR="000D5A86" w:rsidRPr="0012709F" w:rsidRDefault="000D5A86" w:rsidP="00DC7046">
            <w:pPr>
              <w:pStyle w:val="Norml"/>
              <w:widowControl w:val="0"/>
              <w:spacing w:after="0"/>
              <w:ind w:left="-108" w:right="-108"/>
              <w:jc w:val="center"/>
              <w:rPr>
                <w:rFonts w:ascii="Trebuchet MS" w:hAnsi="Trebuchet MS" w:cs="Arial"/>
                <w:b/>
                <w:kern w:val="16"/>
                <w:sz w:val="18"/>
                <w:szCs w:val="18"/>
              </w:rPr>
            </w:pPr>
          </w:p>
        </w:tc>
        <w:tc>
          <w:tcPr>
            <w:tcW w:w="1701" w:type="dxa"/>
            <w:tcBorders>
              <w:top w:val="single" w:sz="4" w:space="0" w:color="auto"/>
              <w:bottom w:val="single" w:sz="4" w:space="0" w:color="auto"/>
            </w:tcBorders>
            <w:vAlign w:val="bottom"/>
          </w:tcPr>
          <w:p w14:paraId="7EB9BE8B" w14:textId="4AD819D6" w:rsidR="000D5A86" w:rsidRPr="0012709F" w:rsidRDefault="00916316"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11,496,407</w:t>
            </w:r>
          </w:p>
        </w:tc>
        <w:tc>
          <w:tcPr>
            <w:tcW w:w="1701" w:type="dxa"/>
            <w:tcBorders>
              <w:top w:val="single" w:sz="4" w:space="0" w:color="auto"/>
              <w:bottom w:val="single" w:sz="4" w:space="0" w:color="auto"/>
            </w:tcBorders>
            <w:vAlign w:val="bottom"/>
          </w:tcPr>
          <w:p w14:paraId="36CFC9D7"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12,157,944</w:t>
            </w:r>
          </w:p>
        </w:tc>
      </w:tr>
      <w:tr w:rsidR="000D5A86" w:rsidRPr="0012709F" w14:paraId="0E5F76CA" w14:textId="77777777" w:rsidTr="00DC7046">
        <w:trPr>
          <w:trHeight w:val="276"/>
          <w:jc w:val="center"/>
        </w:trPr>
        <w:tc>
          <w:tcPr>
            <w:tcW w:w="4395" w:type="dxa"/>
            <w:tcBorders>
              <w:top w:val="single" w:sz="4" w:space="0" w:color="auto"/>
              <w:bottom w:val="double" w:sz="4" w:space="0" w:color="auto"/>
            </w:tcBorders>
            <w:vAlign w:val="bottom"/>
          </w:tcPr>
          <w:p w14:paraId="122D18C3" w14:textId="77777777" w:rsidR="000D5A86" w:rsidRPr="0012709F" w:rsidRDefault="000D5A86" w:rsidP="00DC7046">
            <w:pPr>
              <w:pStyle w:val="Norml"/>
              <w:widowControl w:val="0"/>
              <w:spacing w:after="0"/>
              <w:ind w:left="5" w:right="-108" w:hanging="113"/>
              <w:rPr>
                <w:rFonts w:ascii="Trebuchet MS" w:hAnsi="Trebuchet MS" w:cs="Arial"/>
                <w:sz w:val="18"/>
                <w:szCs w:val="18"/>
              </w:rPr>
            </w:pPr>
            <w:r>
              <w:rPr>
                <w:rFonts w:ascii="Trebuchet MS" w:hAnsi="Trebuchet MS"/>
                <w:b/>
                <w:sz w:val="18"/>
                <w:szCs w:val="18"/>
              </w:rPr>
              <w:t>TOTAL LIABILITIES AND EQUITY</w:t>
            </w:r>
          </w:p>
        </w:tc>
        <w:tc>
          <w:tcPr>
            <w:tcW w:w="1417" w:type="dxa"/>
            <w:tcBorders>
              <w:top w:val="single" w:sz="4" w:space="0" w:color="auto"/>
              <w:bottom w:val="double" w:sz="4" w:space="0" w:color="auto"/>
            </w:tcBorders>
            <w:vAlign w:val="bottom"/>
          </w:tcPr>
          <w:p w14:paraId="671BAF41" w14:textId="77777777" w:rsidR="000D5A86" w:rsidRPr="0012709F" w:rsidRDefault="000D5A86" w:rsidP="00DC7046">
            <w:pPr>
              <w:pStyle w:val="Norml"/>
              <w:widowControl w:val="0"/>
              <w:spacing w:after="0"/>
              <w:ind w:left="-108" w:right="-108"/>
              <w:jc w:val="center"/>
              <w:rPr>
                <w:rFonts w:ascii="Trebuchet MS" w:hAnsi="Trebuchet MS" w:cs="Arial"/>
                <w:sz w:val="18"/>
                <w:szCs w:val="18"/>
                <w:lang w:val="ru-RU"/>
              </w:rPr>
            </w:pPr>
          </w:p>
        </w:tc>
        <w:tc>
          <w:tcPr>
            <w:tcW w:w="1701" w:type="dxa"/>
            <w:tcBorders>
              <w:top w:val="single" w:sz="4" w:space="0" w:color="auto"/>
              <w:bottom w:val="double" w:sz="4" w:space="0" w:color="auto"/>
            </w:tcBorders>
            <w:vAlign w:val="bottom"/>
          </w:tcPr>
          <w:p w14:paraId="2C1F3638" w14:textId="750F135B" w:rsidR="000D5A86" w:rsidRPr="0012709F" w:rsidRDefault="00916316" w:rsidP="00DC7046">
            <w:pPr>
              <w:pStyle w:val="Norml"/>
              <w:widowControl w:val="0"/>
              <w:tabs>
                <w:tab w:val="decimal" w:pos="1418"/>
              </w:tabs>
              <w:spacing w:after="0"/>
              <w:rPr>
                <w:rFonts w:ascii="Trebuchet MS" w:hAnsi="Trebuchet MS" w:cs="Arial"/>
                <w:b/>
                <w:color w:val="000000"/>
                <w:sz w:val="18"/>
                <w:szCs w:val="18"/>
              </w:rPr>
            </w:pPr>
            <w:r>
              <w:rPr>
                <w:rFonts w:ascii="Trebuchet MS" w:hAnsi="Trebuchet MS" w:cs="Arial"/>
                <w:b/>
                <w:color w:val="000000"/>
                <w:sz w:val="18"/>
                <w:szCs w:val="18"/>
              </w:rPr>
              <w:t>23,894,632</w:t>
            </w:r>
          </w:p>
        </w:tc>
        <w:tc>
          <w:tcPr>
            <w:tcW w:w="1701" w:type="dxa"/>
            <w:tcBorders>
              <w:top w:val="single" w:sz="4" w:space="0" w:color="auto"/>
              <w:bottom w:val="double" w:sz="4" w:space="0" w:color="auto"/>
            </w:tcBorders>
            <w:vAlign w:val="bottom"/>
          </w:tcPr>
          <w:p w14:paraId="446FC182" w14:textId="77777777" w:rsidR="000D5A86" w:rsidRPr="00916316" w:rsidRDefault="000D5A86" w:rsidP="00DC7046">
            <w:pPr>
              <w:pStyle w:val="Norml"/>
              <w:widowControl w:val="0"/>
              <w:tabs>
                <w:tab w:val="decimal" w:pos="1418"/>
              </w:tabs>
              <w:spacing w:after="0"/>
              <w:rPr>
                <w:rFonts w:ascii="Trebuchet MS" w:hAnsi="Trebuchet MS" w:cs="Arial"/>
                <w:color w:val="000000"/>
                <w:sz w:val="18"/>
                <w:szCs w:val="18"/>
              </w:rPr>
            </w:pPr>
            <w:r w:rsidRPr="00916316">
              <w:rPr>
                <w:rFonts w:ascii="Trebuchet MS" w:hAnsi="Trebuchet MS" w:cs="Arial"/>
                <w:color w:val="000000"/>
                <w:sz w:val="18"/>
                <w:szCs w:val="18"/>
              </w:rPr>
              <w:t>22,926,088</w:t>
            </w:r>
          </w:p>
        </w:tc>
      </w:tr>
      <w:bookmarkEnd w:id="3"/>
      <w:bookmarkEnd w:id="4"/>
    </w:tbl>
    <w:p w14:paraId="0194F936" w14:textId="77777777" w:rsidR="000D5A86" w:rsidRDefault="000D5A86" w:rsidP="00065F46">
      <w:pPr>
        <w:rPr>
          <w:rFonts w:ascii="Times New Roman" w:hAnsi="Times New Roman" w:cs="Times New Roman"/>
          <w:sz w:val="22"/>
          <w:lang w:val="en-US"/>
        </w:rPr>
      </w:pPr>
    </w:p>
    <w:p w14:paraId="4837E831" w14:textId="77777777" w:rsidR="0012709F" w:rsidRDefault="0012709F" w:rsidP="00065F46">
      <w:pPr>
        <w:rPr>
          <w:rFonts w:ascii="Times New Roman" w:hAnsi="Times New Roman" w:cs="Times New Roman"/>
          <w:sz w:val="22"/>
          <w:lang w:val="en-US"/>
        </w:rPr>
      </w:pPr>
    </w:p>
    <w:p w14:paraId="039512C1" w14:textId="77777777" w:rsidR="0012709F" w:rsidRDefault="0012709F" w:rsidP="00065F46">
      <w:pPr>
        <w:rPr>
          <w:rFonts w:ascii="Times New Roman" w:hAnsi="Times New Roman" w:cs="Times New Roman"/>
          <w:sz w:val="22"/>
          <w:lang w:val="en-US"/>
        </w:rPr>
      </w:pPr>
    </w:p>
    <w:p w14:paraId="71CCE790" w14:textId="77777777" w:rsidR="0012709F" w:rsidRDefault="0012709F" w:rsidP="00065F46">
      <w:pPr>
        <w:rPr>
          <w:rFonts w:ascii="Times New Roman" w:hAnsi="Times New Roman" w:cs="Times New Roman"/>
          <w:sz w:val="22"/>
          <w:lang w:val="en-US"/>
        </w:rPr>
      </w:pPr>
    </w:p>
    <w:p w14:paraId="0E1B2A7C" w14:textId="77777777" w:rsidR="0012709F" w:rsidRDefault="0012709F" w:rsidP="00065F46">
      <w:pPr>
        <w:rPr>
          <w:rFonts w:ascii="Times New Roman" w:hAnsi="Times New Roman" w:cs="Times New Roman"/>
          <w:sz w:val="22"/>
          <w:lang w:val="en-US"/>
        </w:rPr>
      </w:pPr>
    </w:p>
    <w:tbl>
      <w:tblPr>
        <w:tblW w:w="9214" w:type="dxa"/>
        <w:tblLook w:val="04A0" w:firstRow="1" w:lastRow="0" w:firstColumn="1" w:lastColumn="0" w:noHBand="0" w:noVBand="1"/>
      </w:tblPr>
      <w:tblGrid>
        <w:gridCol w:w="3320"/>
        <w:gridCol w:w="2980"/>
        <w:gridCol w:w="2914"/>
      </w:tblGrid>
      <w:tr w:rsidR="00DD7EB8" w:rsidRPr="00DD7EB8" w14:paraId="2EF98927" w14:textId="77777777" w:rsidTr="00DD7EB8">
        <w:trPr>
          <w:trHeight w:val="288"/>
        </w:trPr>
        <w:tc>
          <w:tcPr>
            <w:tcW w:w="3320" w:type="dxa"/>
            <w:tcBorders>
              <w:top w:val="nil"/>
              <w:left w:val="nil"/>
              <w:bottom w:val="single" w:sz="4" w:space="0" w:color="auto"/>
              <w:right w:val="nil"/>
            </w:tcBorders>
            <w:shd w:val="clear" w:color="auto" w:fill="auto"/>
            <w:noWrap/>
            <w:vAlign w:val="bottom"/>
            <w:hideMark/>
          </w:tcPr>
          <w:p w14:paraId="34800B6B" w14:textId="77777777" w:rsidR="00DD7EB8" w:rsidRPr="00DD7EB8" w:rsidRDefault="00DD7EB8" w:rsidP="00DD7EB8">
            <w:pPr>
              <w:rPr>
                <w:rFonts w:eastAsia="Times New Roman" w:cs="Times New Roman"/>
                <w:color w:val="000000"/>
                <w:szCs w:val="20"/>
                <w:lang w:eastAsia="en-GB"/>
              </w:rPr>
            </w:pPr>
            <w:r w:rsidRPr="00DD7EB8">
              <w:rPr>
                <w:rFonts w:eastAsia="Times New Roman" w:cs="Times New Roman"/>
                <w:color w:val="000000"/>
                <w:szCs w:val="20"/>
                <w:lang w:eastAsia="en-GB"/>
              </w:rPr>
              <w:t> </w:t>
            </w:r>
          </w:p>
        </w:tc>
        <w:tc>
          <w:tcPr>
            <w:tcW w:w="2980" w:type="dxa"/>
            <w:tcBorders>
              <w:top w:val="nil"/>
              <w:left w:val="nil"/>
              <w:bottom w:val="nil"/>
              <w:right w:val="nil"/>
            </w:tcBorders>
            <w:shd w:val="clear" w:color="auto" w:fill="auto"/>
            <w:noWrap/>
            <w:vAlign w:val="bottom"/>
            <w:hideMark/>
          </w:tcPr>
          <w:p w14:paraId="2F42E84E" w14:textId="77777777" w:rsidR="00DD7EB8" w:rsidRPr="00DD7EB8" w:rsidRDefault="00DD7EB8" w:rsidP="00DD7EB8">
            <w:pPr>
              <w:rPr>
                <w:rFonts w:eastAsia="Times New Roman" w:cs="Times New Roman"/>
                <w:color w:val="000000"/>
                <w:szCs w:val="20"/>
                <w:lang w:eastAsia="en-GB"/>
              </w:rPr>
            </w:pPr>
          </w:p>
        </w:tc>
        <w:tc>
          <w:tcPr>
            <w:tcW w:w="2914" w:type="dxa"/>
            <w:tcBorders>
              <w:top w:val="nil"/>
              <w:left w:val="nil"/>
              <w:bottom w:val="single" w:sz="4" w:space="0" w:color="auto"/>
              <w:right w:val="nil"/>
            </w:tcBorders>
            <w:shd w:val="clear" w:color="auto" w:fill="auto"/>
            <w:noWrap/>
            <w:vAlign w:val="bottom"/>
            <w:hideMark/>
          </w:tcPr>
          <w:p w14:paraId="34D6C969" w14:textId="77777777" w:rsidR="00DD7EB8" w:rsidRPr="00DD7EB8" w:rsidRDefault="00DD7EB8" w:rsidP="00DD7EB8">
            <w:pPr>
              <w:rPr>
                <w:rFonts w:eastAsia="Times New Roman" w:cs="Times New Roman"/>
                <w:color w:val="000000"/>
                <w:szCs w:val="20"/>
                <w:lang w:eastAsia="en-GB"/>
              </w:rPr>
            </w:pPr>
            <w:r w:rsidRPr="00DD7EB8">
              <w:rPr>
                <w:rFonts w:eastAsia="Times New Roman" w:cs="Times New Roman"/>
                <w:color w:val="000000"/>
                <w:szCs w:val="20"/>
                <w:lang w:eastAsia="en-GB"/>
              </w:rPr>
              <w:t> </w:t>
            </w:r>
          </w:p>
        </w:tc>
      </w:tr>
      <w:tr w:rsidR="00DD7EB8" w:rsidRPr="00DD7EB8" w14:paraId="3B6F009D" w14:textId="77777777" w:rsidTr="00DD7EB8">
        <w:trPr>
          <w:trHeight w:val="288"/>
        </w:trPr>
        <w:tc>
          <w:tcPr>
            <w:tcW w:w="3320" w:type="dxa"/>
            <w:tcBorders>
              <w:top w:val="nil"/>
              <w:left w:val="nil"/>
              <w:bottom w:val="nil"/>
              <w:right w:val="nil"/>
            </w:tcBorders>
            <w:shd w:val="clear" w:color="auto" w:fill="auto"/>
            <w:noWrap/>
            <w:vAlign w:val="bottom"/>
            <w:hideMark/>
          </w:tcPr>
          <w:p w14:paraId="360F6600" w14:textId="77777777" w:rsidR="00DD7EB8" w:rsidRPr="00DD7EB8" w:rsidRDefault="00DD7EB8" w:rsidP="00DD7EB8">
            <w:pPr>
              <w:rPr>
                <w:rFonts w:eastAsia="Times New Roman" w:cs="Times New Roman"/>
                <w:color w:val="000000"/>
                <w:szCs w:val="20"/>
                <w:lang w:eastAsia="en-GB"/>
              </w:rPr>
            </w:pPr>
            <w:proofErr w:type="spellStart"/>
            <w:r w:rsidRPr="00DD7EB8">
              <w:rPr>
                <w:rFonts w:eastAsia="Times New Roman" w:cs="Times New Roman"/>
                <w:color w:val="000000"/>
                <w:szCs w:val="20"/>
                <w:lang w:eastAsia="en-GB"/>
              </w:rPr>
              <w:t>Anar</w:t>
            </w:r>
            <w:proofErr w:type="spellEnd"/>
            <w:r w:rsidRPr="00DD7EB8">
              <w:rPr>
                <w:rFonts w:eastAsia="Times New Roman" w:cs="Times New Roman"/>
                <w:color w:val="000000"/>
                <w:szCs w:val="20"/>
                <w:lang w:eastAsia="en-GB"/>
              </w:rPr>
              <w:t xml:space="preserve"> Bayramov</w:t>
            </w:r>
          </w:p>
        </w:tc>
        <w:tc>
          <w:tcPr>
            <w:tcW w:w="2980" w:type="dxa"/>
            <w:tcBorders>
              <w:top w:val="nil"/>
              <w:left w:val="nil"/>
              <w:bottom w:val="nil"/>
              <w:right w:val="nil"/>
            </w:tcBorders>
            <w:shd w:val="clear" w:color="auto" w:fill="auto"/>
            <w:noWrap/>
            <w:vAlign w:val="bottom"/>
            <w:hideMark/>
          </w:tcPr>
          <w:p w14:paraId="07C8D6C2" w14:textId="77777777" w:rsidR="00DD7EB8" w:rsidRPr="00DD7EB8" w:rsidRDefault="00DD7EB8" w:rsidP="00DD7EB8">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3EE39244" w14:textId="77777777" w:rsidR="00DD7EB8" w:rsidRPr="00DD7EB8" w:rsidRDefault="00DD7EB8" w:rsidP="00DD7EB8">
            <w:pPr>
              <w:rPr>
                <w:rFonts w:eastAsia="Times New Roman" w:cs="Times New Roman"/>
                <w:color w:val="000000"/>
                <w:szCs w:val="20"/>
                <w:lang w:eastAsia="en-GB"/>
              </w:rPr>
            </w:pPr>
            <w:r w:rsidRPr="00DD7EB8">
              <w:rPr>
                <w:rFonts w:eastAsia="Times New Roman" w:cs="Times New Roman"/>
                <w:color w:val="000000"/>
                <w:szCs w:val="20"/>
                <w:lang w:eastAsia="en-GB"/>
              </w:rPr>
              <w:t>Natavan Imamguliyeva</w:t>
            </w:r>
          </w:p>
        </w:tc>
      </w:tr>
      <w:tr w:rsidR="00DD7EB8" w:rsidRPr="00DD7EB8" w14:paraId="5308392D" w14:textId="77777777" w:rsidTr="00DD7EB8">
        <w:trPr>
          <w:trHeight w:val="288"/>
        </w:trPr>
        <w:tc>
          <w:tcPr>
            <w:tcW w:w="3320" w:type="dxa"/>
            <w:tcBorders>
              <w:top w:val="nil"/>
              <w:left w:val="nil"/>
              <w:bottom w:val="nil"/>
              <w:right w:val="nil"/>
            </w:tcBorders>
            <w:shd w:val="clear" w:color="auto" w:fill="auto"/>
            <w:noWrap/>
            <w:vAlign w:val="bottom"/>
            <w:hideMark/>
          </w:tcPr>
          <w:p w14:paraId="2C774C92" w14:textId="77777777" w:rsidR="00DD7EB8" w:rsidRPr="00DD7EB8" w:rsidRDefault="00DD7EB8" w:rsidP="00DD7EB8">
            <w:pPr>
              <w:rPr>
                <w:rFonts w:eastAsia="Times New Roman" w:cs="Times New Roman"/>
                <w:color w:val="000000"/>
                <w:szCs w:val="20"/>
                <w:lang w:eastAsia="en-GB"/>
              </w:rPr>
            </w:pPr>
            <w:r w:rsidRPr="00DD7EB8">
              <w:rPr>
                <w:rFonts w:eastAsia="Times New Roman" w:cs="Times New Roman"/>
                <w:color w:val="000000"/>
                <w:szCs w:val="20"/>
                <w:lang w:eastAsia="en-GB"/>
              </w:rPr>
              <w:t>Chairman of the Board</w:t>
            </w:r>
          </w:p>
        </w:tc>
        <w:tc>
          <w:tcPr>
            <w:tcW w:w="2980" w:type="dxa"/>
            <w:tcBorders>
              <w:top w:val="nil"/>
              <w:left w:val="nil"/>
              <w:bottom w:val="nil"/>
              <w:right w:val="nil"/>
            </w:tcBorders>
            <w:shd w:val="clear" w:color="auto" w:fill="auto"/>
            <w:noWrap/>
            <w:vAlign w:val="bottom"/>
            <w:hideMark/>
          </w:tcPr>
          <w:p w14:paraId="77C14617" w14:textId="77777777" w:rsidR="00DD7EB8" w:rsidRPr="00DD7EB8" w:rsidRDefault="00DD7EB8" w:rsidP="00DD7EB8">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4CAAE461" w14:textId="77777777" w:rsidR="00DD7EB8" w:rsidRPr="00DD7EB8" w:rsidRDefault="00DD7EB8" w:rsidP="00DD7EB8">
            <w:pPr>
              <w:rPr>
                <w:rFonts w:eastAsia="Times New Roman" w:cs="Times New Roman"/>
                <w:color w:val="000000"/>
                <w:szCs w:val="20"/>
                <w:lang w:eastAsia="en-GB"/>
              </w:rPr>
            </w:pPr>
            <w:r w:rsidRPr="00DD7EB8">
              <w:rPr>
                <w:rFonts w:eastAsia="Times New Roman" w:cs="Times New Roman"/>
                <w:color w:val="000000"/>
                <w:szCs w:val="20"/>
                <w:lang w:eastAsia="en-GB"/>
              </w:rPr>
              <w:t>Chief Accountant</w:t>
            </w:r>
          </w:p>
        </w:tc>
      </w:tr>
    </w:tbl>
    <w:p w14:paraId="36106DA1" w14:textId="77777777" w:rsidR="0012709F" w:rsidRDefault="0012709F" w:rsidP="00065F46">
      <w:pPr>
        <w:rPr>
          <w:rFonts w:ascii="Times New Roman" w:hAnsi="Times New Roman" w:cs="Times New Roman"/>
          <w:sz w:val="22"/>
          <w:lang w:val="en-US"/>
        </w:rPr>
      </w:pPr>
    </w:p>
    <w:p w14:paraId="59A6FED6" w14:textId="77777777" w:rsidR="00D760BD" w:rsidRDefault="00D760BD" w:rsidP="00065F46">
      <w:pPr>
        <w:rPr>
          <w:rFonts w:ascii="Times New Roman" w:hAnsi="Times New Roman" w:cs="Times New Roman"/>
          <w:sz w:val="22"/>
          <w:lang w:val="en-US"/>
        </w:rPr>
      </w:pPr>
    </w:p>
    <w:p w14:paraId="13C8A788" w14:textId="77777777" w:rsidR="000D5A86" w:rsidRDefault="000D5A86" w:rsidP="00065F46">
      <w:pPr>
        <w:rPr>
          <w:rFonts w:ascii="Times New Roman" w:hAnsi="Times New Roman" w:cs="Times New Roman"/>
          <w:sz w:val="22"/>
          <w:lang w:val="en-US"/>
        </w:rPr>
        <w:sectPr w:rsidR="000D5A86" w:rsidSect="00065F46">
          <w:headerReference w:type="default" r:id="rId15"/>
          <w:footerReference w:type="default" r:id="rId16"/>
          <w:pgSz w:w="11906" w:h="16838" w:code="9"/>
          <w:pgMar w:top="1440" w:right="849" w:bottom="1440" w:left="1701" w:header="709" w:footer="709" w:gutter="0"/>
          <w:cols w:space="708"/>
          <w:docGrid w:linePitch="360"/>
        </w:sectPr>
      </w:pPr>
    </w:p>
    <w:p w14:paraId="2D0C39E9" w14:textId="77777777" w:rsidR="00D760BD" w:rsidRDefault="00D760BD" w:rsidP="00065F46">
      <w:pPr>
        <w:rPr>
          <w:rFonts w:ascii="Times New Roman" w:hAnsi="Times New Roman" w:cs="Times New Roman"/>
          <w:sz w:val="22"/>
          <w:lang w:val="en-US"/>
        </w:rPr>
      </w:pPr>
    </w:p>
    <w:tbl>
      <w:tblPr>
        <w:tblW w:w="9497" w:type="dxa"/>
        <w:jc w:val="center"/>
        <w:tblLayout w:type="fixed"/>
        <w:tblLook w:val="0000" w:firstRow="0" w:lastRow="0" w:firstColumn="0" w:lastColumn="0" w:noHBand="0" w:noVBand="0"/>
      </w:tblPr>
      <w:tblGrid>
        <w:gridCol w:w="5245"/>
        <w:gridCol w:w="850"/>
        <w:gridCol w:w="1701"/>
        <w:gridCol w:w="1701"/>
      </w:tblGrid>
      <w:tr w:rsidR="000D5A86" w:rsidRPr="000D5A86" w14:paraId="4854D930" w14:textId="77777777" w:rsidTr="000D5A86">
        <w:trPr>
          <w:trHeight w:val="227"/>
          <w:jc w:val="center"/>
        </w:trPr>
        <w:tc>
          <w:tcPr>
            <w:tcW w:w="5245" w:type="dxa"/>
            <w:tcBorders>
              <w:left w:val="nil"/>
              <w:bottom w:val="single" w:sz="4" w:space="0" w:color="auto"/>
              <w:right w:val="nil"/>
            </w:tcBorders>
            <w:vAlign w:val="bottom"/>
          </w:tcPr>
          <w:p w14:paraId="00F178A7" w14:textId="777C475B" w:rsidR="000D5A86" w:rsidRPr="000D5A86" w:rsidRDefault="000D5A86" w:rsidP="00DC7046">
            <w:pPr>
              <w:pStyle w:val="Norml"/>
              <w:widowControl w:val="0"/>
              <w:spacing w:after="0"/>
              <w:ind w:left="5" w:right="-108" w:hanging="113"/>
              <w:rPr>
                <w:rFonts w:ascii="Trebuchet MS" w:hAnsi="Trebuchet MS" w:cs="Arial"/>
                <w:i/>
                <w:sz w:val="18"/>
                <w:szCs w:val="18"/>
              </w:rPr>
            </w:pPr>
            <w:bookmarkStart w:id="5" w:name="OLE_LINK1"/>
          </w:p>
        </w:tc>
        <w:tc>
          <w:tcPr>
            <w:tcW w:w="850" w:type="dxa"/>
            <w:tcBorders>
              <w:left w:val="nil"/>
              <w:bottom w:val="single" w:sz="4" w:space="0" w:color="auto"/>
              <w:right w:val="nil"/>
            </w:tcBorders>
            <w:vAlign w:val="bottom"/>
          </w:tcPr>
          <w:p w14:paraId="4AAE6194" w14:textId="77777777" w:rsidR="000D5A86" w:rsidRPr="000D5A86" w:rsidRDefault="000D5A86" w:rsidP="00DC7046">
            <w:pPr>
              <w:ind w:left="-108" w:right="-108"/>
              <w:contextualSpacing/>
              <w:jc w:val="center"/>
              <w:rPr>
                <w:rFonts w:cs="Arial"/>
                <w:b/>
                <w:color w:val="000000"/>
                <w:sz w:val="18"/>
                <w:szCs w:val="18"/>
              </w:rPr>
            </w:pPr>
            <w:r w:rsidRPr="000D5A86">
              <w:rPr>
                <w:b/>
                <w:color w:val="000000"/>
                <w:sz w:val="18"/>
                <w:szCs w:val="18"/>
              </w:rPr>
              <w:t>Notes</w:t>
            </w:r>
          </w:p>
        </w:tc>
        <w:tc>
          <w:tcPr>
            <w:tcW w:w="1701" w:type="dxa"/>
            <w:tcBorders>
              <w:left w:val="nil"/>
              <w:bottom w:val="single" w:sz="4" w:space="0" w:color="auto"/>
              <w:right w:val="nil"/>
            </w:tcBorders>
            <w:shd w:val="clear" w:color="auto" w:fill="auto"/>
            <w:vAlign w:val="bottom"/>
          </w:tcPr>
          <w:p w14:paraId="1EE24C7A" w14:textId="77777777" w:rsidR="000D5A86" w:rsidRPr="000D5A86" w:rsidRDefault="000D5A86" w:rsidP="00DC7046">
            <w:pPr>
              <w:ind w:left="-108" w:right="68"/>
              <w:contextualSpacing/>
              <w:jc w:val="right"/>
              <w:rPr>
                <w:rFonts w:cs="Arial"/>
                <w:b/>
                <w:color w:val="000000"/>
                <w:sz w:val="18"/>
                <w:szCs w:val="18"/>
              </w:rPr>
            </w:pPr>
            <w:r w:rsidRPr="000D5A86">
              <w:rPr>
                <w:b/>
                <w:color w:val="000000"/>
                <w:sz w:val="18"/>
                <w:szCs w:val="18"/>
              </w:rPr>
              <w:t>2019</w:t>
            </w:r>
          </w:p>
        </w:tc>
        <w:tc>
          <w:tcPr>
            <w:tcW w:w="1701" w:type="dxa"/>
            <w:tcBorders>
              <w:left w:val="nil"/>
              <w:bottom w:val="single" w:sz="4" w:space="0" w:color="auto"/>
              <w:right w:val="nil"/>
            </w:tcBorders>
            <w:shd w:val="clear" w:color="auto" w:fill="auto"/>
            <w:vAlign w:val="bottom"/>
          </w:tcPr>
          <w:p w14:paraId="1561144F" w14:textId="23FC6444" w:rsidR="000D5A86" w:rsidRPr="000D5A86" w:rsidRDefault="000D5A86" w:rsidP="000D5A86">
            <w:pPr>
              <w:ind w:left="-108" w:right="68"/>
              <w:contextualSpacing/>
              <w:jc w:val="right"/>
              <w:rPr>
                <w:rFonts w:cs="Arial"/>
                <w:color w:val="000000"/>
                <w:sz w:val="18"/>
                <w:szCs w:val="18"/>
              </w:rPr>
            </w:pPr>
            <w:r w:rsidRPr="000D5A86">
              <w:rPr>
                <w:color w:val="000000"/>
                <w:sz w:val="18"/>
                <w:szCs w:val="18"/>
              </w:rPr>
              <w:t>2018</w:t>
            </w:r>
          </w:p>
        </w:tc>
      </w:tr>
      <w:tr w:rsidR="000D5A86" w:rsidRPr="000D5A86" w14:paraId="3D964C10" w14:textId="77777777" w:rsidTr="000D5A86">
        <w:trPr>
          <w:trHeight w:val="227"/>
          <w:jc w:val="center"/>
        </w:trPr>
        <w:tc>
          <w:tcPr>
            <w:tcW w:w="5245" w:type="dxa"/>
            <w:tcBorders>
              <w:top w:val="nil"/>
              <w:left w:val="nil"/>
              <w:right w:val="nil"/>
            </w:tcBorders>
            <w:vAlign w:val="bottom"/>
          </w:tcPr>
          <w:p w14:paraId="7A1CF301" w14:textId="77777777" w:rsidR="000D5A86" w:rsidRPr="000D5A86" w:rsidDel="0037314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szCs w:val="18"/>
              </w:rPr>
            </w:pPr>
            <w:r w:rsidRPr="000D5A86">
              <w:rPr>
                <w:rFonts w:ascii="Trebuchet MS" w:hAnsi="Trebuchet MS"/>
                <w:szCs w:val="18"/>
              </w:rPr>
              <w:t xml:space="preserve"> </w:t>
            </w:r>
          </w:p>
        </w:tc>
        <w:tc>
          <w:tcPr>
            <w:tcW w:w="850" w:type="dxa"/>
            <w:tcBorders>
              <w:top w:val="nil"/>
              <w:left w:val="nil"/>
              <w:right w:val="nil"/>
            </w:tcBorders>
            <w:vAlign w:val="bottom"/>
          </w:tcPr>
          <w:p w14:paraId="43A37522" w14:textId="77777777"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szCs w:val="18"/>
                <w:lang w:val="ru-RU"/>
              </w:rPr>
            </w:pPr>
          </w:p>
        </w:tc>
        <w:tc>
          <w:tcPr>
            <w:tcW w:w="1701" w:type="dxa"/>
            <w:tcBorders>
              <w:top w:val="nil"/>
              <w:left w:val="nil"/>
              <w:right w:val="nil"/>
            </w:tcBorders>
            <w:shd w:val="clear" w:color="auto" w:fill="auto"/>
            <w:vAlign w:val="bottom"/>
          </w:tcPr>
          <w:p w14:paraId="70D17848" w14:textId="77777777" w:rsidR="000D5A86" w:rsidRPr="000D5A86" w:rsidRDefault="000D5A86" w:rsidP="00DC7046">
            <w:pPr>
              <w:tabs>
                <w:tab w:val="decimal" w:pos="1418"/>
              </w:tabs>
              <w:contextualSpacing/>
              <w:rPr>
                <w:rFonts w:cs="Arial"/>
                <w:b/>
                <w:sz w:val="18"/>
                <w:szCs w:val="18"/>
                <w:lang w:val="ru-RU"/>
              </w:rPr>
            </w:pPr>
          </w:p>
        </w:tc>
        <w:tc>
          <w:tcPr>
            <w:tcW w:w="1701" w:type="dxa"/>
            <w:tcBorders>
              <w:top w:val="nil"/>
              <w:left w:val="nil"/>
              <w:right w:val="nil"/>
            </w:tcBorders>
            <w:shd w:val="clear" w:color="auto" w:fill="auto"/>
            <w:vAlign w:val="bottom"/>
          </w:tcPr>
          <w:p w14:paraId="2F0067AE" w14:textId="77777777" w:rsidR="000D5A86" w:rsidRPr="000D5A86" w:rsidRDefault="000D5A86" w:rsidP="00DC7046">
            <w:pPr>
              <w:tabs>
                <w:tab w:val="decimal" w:pos="1418"/>
              </w:tabs>
              <w:contextualSpacing/>
              <w:rPr>
                <w:rFonts w:cs="Arial"/>
                <w:sz w:val="18"/>
                <w:szCs w:val="18"/>
                <w:lang w:val="ru-RU"/>
              </w:rPr>
            </w:pPr>
          </w:p>
        </w:tc>
      </w:tr>
      <w:tr w:rsidR="000D5A86" w:rsidRPr="000D5A86" w14:paraId="30213403" w14:textId="77777777" w:rsidTr="000D5A86">
        <w:trPr>
          <w:trHeight w:val="227"/>
          <w:jc w:val="center"/>
        </w:trPr>
        <w:tc>
          <w:tcPr>
            <w:tcW w:w="5245" w:type="dxa"/>
            <w:tcBorders>
              <w:top w:val="nil"/>
              <w:left w:val="nil"/>
              <w:right w:val="nil"/>
            </w:tcBorders>
            <w:vAlign w:val="bottom"/>
          </w:tcPr>
          <w:p w14:paraId="49F0D116" w14:textId="356F6C51"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szCs w:val="18"/>
              </w:rPr>
            </w:pPr>
            <w:r>
              <w:rPr>
                <w:rFonts w:ascii="Trebuchet MS" w:hAnsi="Trebuchet MS"/>
                <w:szCs w:val="18"/>
              </w:rPr>
              <w:t>Gross written premiums</w:t>
            </w:r>
            <w:r w:rsidRPr="000D5A86">
              <w:rPr>
                <w:rFonts w:ascii="Trebuchet MS" w:hAnsi="Trebuchet MS"/>
                <w:szCs w:val="18"/>
              </w:rPr>
              <w:t xml:space="preserve"> </w:t>
            </w:r>
          </w:p>
        </w:tc>
        <w:tc>
          <w:tcPr>
            <w:tcW w:w="850" w:type="dxa"/>
            <w:tcBorders>
              <w:top w:val="nil"/>
              <w:left w:val="nil"/>
              <w:right w:val="nil"/>
            </w:tcBorders>
            <w:vAlign w:val="bottom"/>
          </w:tcPr>
          <w:p w14:paraId="36921993" w14:textId="249F5B06"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szCs w:val="18"/>
              </w:rPr>
            </w:pPr>
          </w:p>
        </w:tc>
        <w:tc>
          <w:tcPr>
            <w:tcW w:w="1701" w:type="dxa"/>
            <w:tcBorders>
              <w:top w:val="nil"/>
              <w:left w:val="nil"/>
              <w:right w:val="nil"/>
            </w:tcBorders>
            <w:shd w:val="clear" w:color="auto" w:fill="auto"/>
            <w:vAlign w:val="bottom"/>
          </w:tcPr>
          <w:p w14:paraId="1DEBFB6A" w14:textId="2851CC05" w:rsidR="000D5A86" w:rsidRPr="000D5A86" w:rsidRDefault="004D7FF6" w:rsidP="00DC7046">
            <w:pPr>
              <w:tabs>
                <w:tab w:val="decimal" w:pos="1418"/>
              </w:tabs>
              <w:contextualSpacing/>
              <w:rPr>
                <w:rFonts w:cs="Arial"/>
                <w:b/>
                <w:sz w:val="18"/>
                <w:szCs w:val="18"/>
              </w:rPr>
            </w:pPr>
            <w:r>
              <w:rPr>
                <w:rFonts w:cs="Arial"/>
                <w:b/>
                <w:sz w:val="18"/>
                <w:szCs w:val="18"/>
              </w:rPr>
              <w:t>14,811,975</w:t>
            </w:r>
          </w:p>
        </w:tc>
        <w:tc>
          <w:tcPr>
            <w:tcW w:w="1701" w:type="dxa"/>
            <w:tcBorders>
              <w:top w:val="nil"/>
              <w:left w:val="nil"/>
              <w:right w:val="nil"/>
            </w:tcBorders>
            <w:shd w:val="clear" w:color="auto" w:fill="auto"/>
            <w:vAlign w:val="bottom"/>
          </w:tcPr>
          <w:p w14:paraId="0118D147" w14:textId="7D92EBD4" w:rsidR="000D5A86" w:rsidRPr="004D7FF6" w:rsidRDefault="000D5A86" w:rsidP="00DC7046">
            <w:pPr>
              <w:tabs>
                <w:tab w:val="decimal" w:pos="1418"/>
              </w:tabs>
              <w:contextualSpacing/>
              <w:rPr>
                <w:rFonts w:cs="Arial"/>
                <w:sz w:val="18"/>
                <w:szCs w:val="18"/>
              </w:rPr>
            </w:pPr>
            <w:r w:rsidRPr="004D7FF6">
              <w:rPr>
                <w:rFonts w:cs="Arial"/>
                <w:sz w:val="18"/>
                <w:szCs w:val="18"/>
              </w:rPr>
              <w:t>12,939,727</w:t>
            </w:r>
          </w:p>
        </w:tc>
      </w:tr>
      <w:tr w:rsidR="000D5A86" w:rsidRPr="000D5A86" w14:paraId="21C88532" w14:textId="77777777" w:rsidTr="000D5A86">
        <w:trPr>
          <w:trHeight w:val="227"/>
          <w:jc w:val="center"/>
        </w:trPr>
        <w:tc>
          <w:tcPr>
            <w:tcW w:w="5245" w:type="dxa"/>
            <w:tcBorders>
              <w:top w:val="nil"/>
              <w:left w:val="nil"/>
              <w:bottom w:val="single" w:sz="4" w:space="0" w:color="auto"/>
              <w:right w:val="nil"/>
            </w:tcBorders>
            <w:vAlign w:val="bottom"/>
          </w:tcPr>
          <w:p w14:paraId="04D518CF" w14:textId="0428ADDA"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szCs w:val="18"/>
              </w:rPr>
            </w:pPr>
            <w:r>
              <w:rPr>
                <w:rFonts w:ascii="Trebuchet MS" w:hAnsi="Trebuchet MS"/>
                <w:szCs w:val="18"/>
              </w:rPr>
              <w:t>Premiums ceded to reinsurers</w:t>
            </w:r>
          </w:p>
        </w:tc>
        <w:tc>
          <w:tcPr>
            <w:tcW w:w="850" w:type="dxa"/>
            <w:tcBorders>
              <w:top w:val="nil"/>
              <w:left w:val="nil"/>
              <w:bottom w:val="single" w:sz="4" w:space="0" w:color="auto"/>
              <w:right w:val="nil"/>
            </w:tcBorders>
            <w:vAlign w:val="bottom"/>
          </w:tcPr>
          <w:p w14:paraId="7E256146" w14:textId="1073B240"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szCs w:val="18"/>
              </w:rPr>
            </w:pPr>
          </w:p>
        </w:tc>
        <w:tc>
          <w:tcPr>
            <w:tcW w:w="1701" w:type="dxa"/>
            <w:tcBorders>
              <w:top w:val="nil"/>
              <w:left w:val="nil"/>
              <w:bottom w:val="single" w:sz="4" w:space="0" w:color="auto"/>
              <w:right w:val="nil"/>
            </w:tcBorders>
            <w:shd w:val="clear" w:color="auto" w:fill="auto"/>
            <w:vAlign w:val="bottom"/>
          </w:tcPr>
          <w:p w14:paraId="7B11B918" w14:textId="29D364B0" w:rsidR="000D5A86" w:rsidRPr="000D5A86" w:rsidRDefault="004D7FF6" w:rsidP="00DC7046">
            <w:pPr>
              <w:tabs>
                <w:tab w:val="decimal" w:pos="1418"/>
              </w:tabs>
              <w:contextualSpacing/>
              <w:rPr>
                <w:rFonts w:cs="Arial"/>
                <w:b/>
                <w:sz w:val="18"/>
                <w:szCs w:val="18"/>
              </w:rPr>
            </w:pPr>
            <w:r>
              <w:rPr>
                <w:rFonts w:cs="Arial"/>
                <w:b/>
                <w:sz w:val="18"/>
                <w:szCs w:val="18"/>
              </w:rPr>
              <w:t>(1,812,650)</w:t>
            </w:r>
          </w:p>
        </w:tc>
        <w:tc>
          <w:tcPr>
            <w:tcW w:w="1701" w:type="dxa"/>
            <w:tcBorders>
              <w:top w:val="nil"/>
              <w:left w:val="nil"/>
              <w:bottom w:val="single" w:sz="4" w:space="0" w:color="auto"/>
              <w:right w:val="nil"/>
            </w:tcBorders>
            <w:shd w:val="clear" w:color="auto" w:fill="auto"/>
            <w:vAlign w:val="bottom"/>
          </w:tcPr>
          <w:p w14:paraId="71F6BD49" w14:textId="1111CC94" w:rsidR="000D5A86" w:rsidRPr="004D7FF6" w:rsidRDefault="000D5A86" w:rsidP="00DC7046">
            <w:pPr>
              <w:tabs>
                <w:tab w:val="decimal" w:pos="1418"/>
              </w:tabs>
              <w:contextualSpacing/>
              <w:rPr>
                <w:rFonts w:cs="Arial"/>
                <w:sz w:val="18"/>
                <w:szCs w:val="18"/>
              </w:rPr>
            </w:pPr>
            <w:r w:rsidRPr="004D7FF6">
              <w:rPr>
                <w:rFonts w:cs="Arial"/>
                <w:sz w:val="18"/>
                <w:szCs w:val="18"/>
              </w:rPr>
              <w:t>(1,058,873)</w:t>
            </w:r>
          </w:p>
        </w:tc>
      </w:tr>
      <w:tr w:rsidR="000D5A86" w:rsidRPr="000D5A86" w14:paraId="72E15C6D" w14:textId="77777777" w:rsidTr="000D5A86">
        <w:trPr>
          <w:trHeight w:val="227"/>
          <w:jc w:val="center"/>
        </w:trPr>
        <w:tc>
          <w:tcPr>
            <w:tcW w:w="5245" w:type="dxa"/>
            <w:tcBorders>
              <w:top w:val="single" w:sz="4" w:space="0" w:color="auto"/>
              <w:left w:val="nil"/>
              <w:bottom w:val="nil"/>
              <w:right w:val="nil"/>
            </w:tcBorders>
            <w:vAlign w:val="bottom"/>
          </w:tcPr>
          <w:p w14:paraId="24AA8364" w14:textId="506AEC4D"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r>
              <w:rPr>
                <w:rFonts w:ascii="Trebuchet MS" w:hAnsi="Trebuchet MS"/>
                <w:b/>
                <w:szCs w:val="18"/>
              </w:rPr>
              <w:t>Net written premiums</w:t>
            </w:r>
          </w:p>
        </w:tc>
        <w:tc>
          <w:tcPr>
            <w:tcW w:w="850" w:type="dxa"/>
            <w:tcBorders>
              <w:top w:val="single" w:sz="4" w:space="0" w:color="auto"/>
              <w:left w:val="nil"/>
              <w:bottom w:val="nil"/>
              <w:right w:val="nil"/>
            </w:tcBorders>
            <w:vAlign w:val="bottom"/>
          </w:tcPr>
          <w:p w14:paraId="3C7F5DF5" w14:textId="77777777"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szCs w:val="18"/>
                <w:lang w:val="ru-RU"/>
              </w:rPr>
            </w:pPr>
          </w:p>
        </w:tc>
        <w:tc>
          <w:tcPr>
            <w:tcW w:w="1701" w:type="dxa"/>
            <w:tcBorders>
              <w:top w:val="single" w:sz="4" w:space="0" w:color="auto"/>
              <w:left w:val="nil"/>
              <w:bottom w:val="nil"/>
              <w:right w:val="nil"/>
            </w:tcBorders>
            <w:shd w:val="clear" w:color="auto" w:fill="auto"/>
            <w:vAlign w:val="bottom"/>
          </w:tcPr>
          <w:p w14:paraId="7D44568B" w14:textId="34FE7590" w:rsidR="000D5A86" w:rsidRPr="000D5A86" w:rsidRDefault="004D7FF6" w:rsidP="00DC7046">
            <w:pPr>
              <w:tabs>
                <w:tab w:val="decimal" w:pos="1418"/>
              </w:tabs>
              <w:contextualSpacing/>
              <w:rPr>
                <w:rFonts w:cs="Arial"/>
                <w:b/>
                <w:bCs/>
                <w:sz w:val="18"/>
                <w:szCs w:val="18"/>
              </w:rPr>
            </w:pPr>
            <w:r>
              <w:rPr>
                <w:rFonts w:cs="Arial"/>
                <w:b/>
                <w:bCs/>
                <w:sz w:val="18"/>
                <w:szCs w:val="18"/>
              </w:rPr>
              <w:t>12,999,325</w:t>
            </w:r>
          </w:p>
        </w:tc>
        <w:tc>
          <w:tcPr>
            <w:tcW w:w="1701" w:type="dxa"/>
            <w:tcBorders>
              <w:top w:val="single" w:sz="4" w:space="0" w:color="auto"/>
              <w:left w:val="nil"/>
              <w:bottom w:val="nil"/>
              <w:right w:val="nil"/>
            </w:tcBorders>
            <w:shd w:val="clear" w:color="auto" w:fill="auto"/>
            <w:vAlign w:val="bottom"/>
          </w:tcPr>
          <w:p w14:paraId="41B90AD5" w14:textId="53BAEDB5" w:rsidR="000D5A86" w:rsidRPr="004D7FF6" w:rsidRDefault="000D5A86" w:rsidP="00DC7046">
            <w:pPr>
              <w:tabs>
                <w:tab w:val="decimal" w:pos="1418"/>
              </w:tabs>
              <w:contextualSpacing/>
              <w:rPr>
                <w:rFonts w:cs="Arial"/>
                <w:sz w:val="18"/>
                <w:szCs w:val="18"/>
              </w:rPr>
            </w:pPr>
            <w:r w:rsidRPr="004D7FF6">
              <w:rPr>
                <w:rFonts w:cs="Arial"/>
                <w:sz w:val="18"/>
                <w:szCs w:val="18"/>
              </w:rPr>
              <w:t>11,880,854</w:t>
            </w:r>
          </w:p>
        </w:tc>
      </w:tr>
      <w:tr w:rsidR="000D5A86" w:rsidRPr="000D5A86" w14:paraId="6CF8A1B9" w14:textId="77777777" w:rsidTr="000D5A86">
        <w:trPr>
          <w:trHeight w:val="227"/>
          <w:jc w:val="center"/>
        </w:trPr>
        <w:tc>
          <w:tcPr>
            <w:tcW w:w="5245" w:type="dxa"/>
            <w:tcBorders>
              <w:top w:val="nil"/>
              <w:left w:val="nil"/>
              <w:bottom w:val="nil"/>
              <w:right w:val="nil"/>
            </w:tcBorders>
            <w:vAlign w:val="bottom"/>
          </w:tcPr>
          <w:p w14:paraId="4AA3B3A3" w14:textId="77777777"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r w:rsidRPr="000D5A86">
              <w:rPr>
                <w:rFonts w:ascii="Trebuchet MS" w:hAnsi="Trebuchet MS"/>
                <w:b/>
                <w:szCs w:val="18"/>
              </w:rPr>
              <w:t xml:space="preserve"> </w:t>
            </w:r>
          </w:p>
        </w:tc>
        <w:tc>
          <w:tcPr>
            <w:tcW w:w="850" w:type="dxa"/>
            <w:tcBorders>
              <w:top w:val="nil"/>
              <w:left w:val="nil"/>
              <w:bottom w:val="nil"/>
              <w:right w:val="nil"/>
            </w:tcBorders>
            <w:vAlign w:val="bottom"/>
          </w:tcPr>
          <w:p w14:paraId="052F5FBE" w14:textId="77777777"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szCs w:val="18"/>
                <w:lang w:val="ru-RU"/>
              </w:rPr>
            </w:pPr>
          </w:p>
        </w:tc>
        <w:tc>
          <w:tcPr>
            <w:tcW w:w="1701" w:type="dxa"/>
            <w:tcBorders>
              <w:top w:val="nil"/>
              <w:left w:val="nil"/>
              <w:bottom w:val="nil"/>
              <w:right w:val="nil"/>
            </w:tcBorders>
            <w:shd w:val="clear" w:color="auto" w:fill="auto"/>
            <w:vAlign w:val="bottom"/>
          </w:tcPr>
          <w:p w14:paraId="0578A23E" w14:textId="77777777" w:rsidR="000D5A86" w:rsidRPr="000D5A86" w:rsidRDefault="000D5A86" w:rsidP="00DC7046">
            <w:pPr>
              <w:tabs>
                <w:tab w:val="decimal" w:pos="1418"/>
              </w:tabs>
              <w:contextualSpacing/>
              <w:rPr>
                <w:rFonts w:cs="Arial"/>
                <w:b/>
                <w:sz w:val="18"/>
                <w:szCs w:val="18"/>
                <w:lang w:val="en-US"/>
              </w:rPr>
            </w:pPr>
          </w:p>
        </w:tc>
        <w:tc>
          <w:tcPr>
            <w:tcW w:w="1701" w:type="dxa"/>
            <w:tcBorders>
              <w:top w:val="nil"/>
              <w:left w:val="nil"/>
              <w:bottom w:val="nil"/>
              <w:right w:val="nil"/>
            </w:tcBorders>
            <w:shd w:val="clear" w:color="auto" w:fill="auto"/>
            <w:vAlign w:val="bottom"/>
          </w:tcPr>
          <w:p w14:paraId="7FF4CA0F" w14:textId="77777777" w:rsidR="000D5A86" w:rsidRPr="004D7FF6" w:rsidRDefault="000D5A86" w:rsidP="00DC7046">
            <w:pPr>
              <w:tabs>
                <w:tab w:val="decimal" w:pos="1418"/>
              </w:tabs>
              <w:contextualSpacing/>
              <w:rPr>
                <w:rFonts w:cs="Arial"/>
                <w:sz w:val="18"/>
                <w:szCs w:val="18"/>
                <w:lang w:val="en-US"/>
              </w:rPr>
            </w:pPr>
          </w:p>
        </w:tc>
      </w:tr>
      <w:tr w:rsidR="000D5A86" w:rsidRPr="000D5A86" w14:paraId="6874D3B8" w14:textId="77777777" w:rsidTr="000D5A86">
        <w:trPr>
          <w:trHeight w:val="227"/>
          <w:jc w:val="center"/>
        </w:trPr>
        <w:tc>
          <w:tcPr>
            <w:tcW w:w="5245" w:type="dxa"/>
            <w:tcBorders>
              <w:top w:val="nil"/>
              <w:left w:val="nil"/>
              <w:right w:val="nil"/>
            </w:tcBorders>
            <w:vAlign w:val="bottom"/>
          </w:tcPr>
          <w:p w14:paraId="19613537" w14:textId="7DB9FEA0"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szCs w:val="18"/>
              </w:rPr>
            </w:pPr>
            <w:r>
              <w:rPr>
                <w:rFonts w:ascii="Trebuchet MS" w:hAnsi="Trebuchet MS"/>
                <w:color w:val="000000"/>
                <w:szCs w:val="18"/>
              </w:rPr>
              <w:t>Changes in provision for unearned premiums, net of reinsurance</w:t>
            </w:r>
          </w:p>
        </w:tc>
        <w:tc>
          <w:tcPr>
            <w:tcW w:w="850" w:type="dxa"/>
            <w:tcBorders>
              <w:top w:val="nil"/>
              <w:left w:val="nil"/>
              <w:right w:val="nil"/>
            </w:tcBorders>
            <w:vAlign w:val="bottom"/>
          </w:tcPr>
          <w:p w14:paraId="41432DF6" w14:textId="4189F626"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szCs w:val="18"/>
              </w:rPr>
            </w:pPr>
          </w:p>
        </w:tc>
        <w:tc>
          <w:tcPr>
            <w:tcW w:w="1701" w:type="dxa"/>
            <w:tcBorders>
              <w:top w:val="nil"/>
              <w:left w:val="nil"/>
              <w:right w:val="nil"/>
            </w:tcBorders>
            <w:shd w:val="clear" w:color="auto" w:fill="auto"/>
            <w:vAlign w:val="bottom"/>
          </w:tcPr>
          <w:p w14:paraId="49470BEF" w14:textId="5E8E7784" w:rsidR="000D5A86" w:rsidRPr="000D5A86" w:rsidRDefault="004D7FF6" w:rsidP="00DC7046">
            <w:pPr>
              <w:tabs>
                <w:tab w:val="decimal" w:pos="1418"/>
              </w:tabs>
              <w:contextualSpacing/>
              <w:rPr>
                <w:rFonts w:cs="Arial"/>
                <w:b/>
                <w:sz w:val="18"/>
                <w:szCs w:val="18"/>
              </w:rPr>
            </w:pPr>
            <w:r>
              <w:rPr>
                <w:rFonts w:cs="Arial"/>
                <w:b/>
                <w:sz w:val="18"/>
                <w:szCs w:val="18"/>
              </w:rPr>
              <w:t>(</w:t>
            </w:r>
            <w:r w:rsidR="00203AE1">
              <w:rPr>
                <w:rFonts w:cs="Arial"/>
                <w:b/>
                <w:sz w:val="18"/>
                <w:szCs w:val="18"/>
              </w:rPr>
              <w:t>835,677</w:t>
            </w:r>
            <w:r>
              <w:rPr>
                <w:rFonts w:cs="Arial"/>
                <w:b/>
                <w:sz w:val="18"/>
                <w:szCs w:val="18"/>
              </w:rPr>
              <w:t>)</w:t>
            </w:r>
          </w:p>
        </w:tc>
        <w:tc>
          <w:tcPr>
            <w:tcW w:w="1701" w:type="dxa"/>
            <w:tcBorders>
              <w:top w:val="nil"/>
              <w:left w:val="nil"/>
              <w:right w:val="nil"/>
            </w:tcBorders>
            <w:shd w:val="clear" w:color="auto" w:fill="auto"/>
            <w:vAlign w:val="bottom"/>
          </w:tcPr>
          <w:p w14:paraId="45A1BA4C" w14:textId="4E63B217" w:rsidR="000D5A86" w:rsidRPr="004D7FF6" w:rsidRDefault="000D5A86" w:rsidP="00DC7046">
            <w:pPr>
              <w:tabs>
                <w:tab w:val="decimal" w:pos="1418"/>
              </w:tabs>
              <w:contextualSpacing/>
              <w:rPr>
                <w:rFonts w:cs="Arial"/>
                <w:sz w:val="18"/>
                <w:szCs w:val="18"/>
              </w:rPr>
            </w:pPr>
            <w:r w:rsidRPr="004D7FF6">
              <w:rPr>
                <w:rFonts w:cs="Arial"/>
                <w:sz w:val="18"/>
                <w:szCs w:val="18"/>
              </w:rPr>
              <w:t>99,641</w:t>
            </w:r>
          </w:p>
        </w:tc>
      </w:tr>
      <w:tr w:rsidR="000D5A86" w:rsidRPr="000D5A86" w14:paraId="2AA2CA15" w14:textId="77777777" w:rsidTr="000D5A86">
        <w:trPr>
          <w:trHeight w:val="227"/>
          <w:jc w:val="center"/>
        </w:trPr>
        <w:tc>
          <w:tcPr>
            <w:tcW w:w="5245" w:type="dxa"/>
            <w:tcBorders>
              <w:top w:val="single" w:sz="4" w:space="0" w:color="auto"/>
              <w:left w:val="nil"/>
              <w:right w:val="nil"/>
            </w:tcBorders>
            <w:vAlign w:val="bottom"/>
          </w:tcPr>
          <w:p w14:paraId="3416830F" w14:textId="2A73BCA4"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r>
              <w:rPr>
                <w:rFonts w:ascii="Trebuchet MS" w:hAnsi="Trebuchet MS"/>
                <w:b/>
                <w:szCs w:val="18"/>
              </w:rPr>
              <w:t>Premiums earned, net of reinsurance</w:t>
            </w:r>
          </w:p>
        </w:tc>
        <w:tc>
          <w:tcPr>
            <w:tcW w:w="850" w:type="dxa"/>
            <w:tcBorders>
              <w:top w:val="single" w:sz="4" w:space="0" w:color="auto"/>
              <w:left w:val="nil"/>
              <w:right w:val="nil"/>
            </w:tcBorders>
            <w:vAlign w:val="bottom"/>
          </w:tcPr>
          <w:p w14:paraId="5EAE977C" w14:textId="0FC20FF0"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rPr>
            </w:pPr>
            <w:r w:rsidRPr="008F38F1">
              <w:rPr>
                <w:rFonts w:ascii="Trebuchet MS" w:hAnsi="Trebuchet MS" w:cs="Arial"/>
                <w:b/>
                <w:bCs/>
                <w:szCs w:val="18"/>
              </w:rPr>
              <w:t>23</w:t>
            </w:r>
          </w:p>
        </w:tc>
        <w:tc>
          <w:tcPr>
            <w:tcW w:w="1701" w:type="dxa"/>
            <w:tcBorders>
              <w:top w:val="single" w:sz="4" w:space="0" w:color="auto"/>
              <w:left w:val="nil"/>
              <w:right w:val="nil"/>
            </w:tcBorders>
            <w:shd w:val="clear" w:color="auto" w:fill="auto"/>
            <w:vAlign w:val="bottom"/>
          </w:tcPr>
          <w:p w14:paraId="6AF6635C" w14:textId="352BE9D3" w:rsidR="000D5A86" w:rsidRPr="000D5A86" w:rsidRDefault="00203AE1" w:rsidP="00DC7046">
            <w:pPr>
              <w:tabs>
                <w:tab w:val="decimal" w:pos="1418"/>
              </w:tabs>
              <w:contextualSpacing/>
              <w:rPr>
                <w:rFonts w:cs="Arial"/>
                <w:b/>
                <w:sz w:val="18"/>
                <w:szCs w:val="18"/>
              </w:rPr>
            </w:pPr>
            <w:r>
              <w:rPr>
                <w:rFonts w:cs="Arial"/>
                <w:b/>
                <w:sz w:val="18"/>
                <w:szCs w:val="18"/>
              </w:rPr>
              <w:t>12,163,648</w:t>
            </w:r>
          </w:p>
        </w:tc>
        <w:tc>
          <w:tcPr>
            <w:tcW w:w="1701" w:type="dxa"/>
            <w:tcBorders>
              <w:top w:val="single" w:sz="4" w:space="0" w:color="auto"/>
              <w:left w:val="nil"/>
              <w:right w:val="nil"/>
            </w:tcBorders>
            <w:shd w:val="clear" w:color="auto" w:fill="auto"/>
            <w:vAlign w:val="bottom"/>
          </w:tcPr>
          <w:p w14:paraId="094EAF2B" w14:textId="510BC338" w:rsidR="000D5A86" w:rsidRPr="004D7FF6" w:rsidRDefault="000D5A86" w:rsidP="00DC7046">
            <w:pPr>
              <w:tabs>
                <w:tab w:val="decimal" w:pos="1418"/>
              </w:tabs>
              <w:contextualSpacing/>
              <w:rPr>
                <w:rFonts w:cs="Arial"/>
                <w:sz w:val="18"/>
                <w:szCs w:val="18"/>
              </w:rPr>
            </w:pPr>
            <w:r w:rsidRPr="004D7FF6">
              <w:rPr>
                <w:rFonts w:cs="Arial"/>
                <w:sz w:val="18"/>
                <w:szCs w:val="18"/>
              </w:rPr>
              <w:t>11,980,495</w:t>
            </w:r>
          </w:p>
        </w:tc>
      </w:tr>
      <w:tr w:rsidR="000D5A86" w:rsidRPr="000D5A86" w14:paraId="2F0F79B2" w14:textId="77777777" w:rsidTr="000D5A86">
        <w:trPr>
          <w:trHeight w:val="227"/>
          <w:jc w:val="center"/>
        </w:trPr>
        <w:tc>
          <w:tcPr>
            <w:tcW w:w="5245" w:type="dxa"/>
            <w:tcBorders>
              <w:left w:val="nil"/>
              <w:bottom w:val="nil"/>
              <w:right w:val="nil"/>
            </w:tcBorders>
            <w:vAlign w:val="bottom"/>
          </w:tcPr>
          <w:p w14:paraId="422F49B7" w14:textId="77777777"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r w:rsidRPr="000D5A86">
              <w:rPr>
                <w:rFonts w:ascii="Trebuchet MS" w:hAnsi="Trebuchet MS"/>
                <w:b/>
                <w:szCs w:val="18"/>
              </w:rPr>
              <w:t xml:space="preserve"> </w:t>
            </w:r>
          </w:p>
        </w:tc>
        <w:tc>
          <w:tcPr>
            <w:tcW w:w="850" w:type="dxa"/>
            <w:tcBorders>
              <w:left w:val="nil"/>
              <w:bottom w:val="nil"/>
              <w:right w:val="nil"/>
            </w:tcBorders>
            <w:vAlign w:val="bottom"/>
          </w:tcPr>
          <w:p w14:paraId="2B2BD343"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lang w:val="ru-RU"/>
              </w:rPr>
            </w:pPr>
          </w:p>
        </w:tc>
        <w:tc>
          <w:tcPr>
            <w:tcW w:w="1701" w:type="dxa"/>
            <w:tcBorders>
              <w:left w:val="nil"/>
              <w:bottom w:val="nil"/>
              <w:right w:val="nil"/>
            </w:tcBorders>
            <w:shd w:val="clear" w:color="auto" w:fill="auto"/>
            <w:vAlign w:val="bottom"/>
          </w:tcPr>
          <w:p w14:paraId="4B548CC1" w14:textId="77777777" w:rsidR="000D5A86" w:rsidRPr="000D5A86" w:rsidRDefault="000D5A86" w:rsidP="00DC7046">
            <w:pPr>
              <w:tabs>
                <w:tab w:val="decimal" w:pos="1418"/>
              </w:tabs>
              <w:contextualSpacing/>
              <w:rPr>
                <w:rFonts w:cs="Arial"/>
                <w:b/>
                <w:sz w:val="18"/>
                <w:szCs w:val="18"/>
                <w:highlight w:val="yellow"/>
                <w:lang w:val="en-US"/>
              </w:rPr>
            </w:pPr>
          </w:p>
        </w:tc>
        <w:tc>
          <w:tcPr>
            <w:tcW w:w="1701" w:type="dxa"/>
            <w:tcBorders>
              <w:left w:val="nil"/>
              <w:bottom w:val="nil"/>
              <w:right w:val="nil"/>
            </w:tcBorders>
            <w:shd w:val="clear" w:color="auto" w:fill="auto"/>
            <w:vAlign w:val="bottom"/>
          </w:tcPr>
          <w:p w14:paraId="05A892AC" w14:textId="77777777" w:rsidR="000D5A86" w:rsidRPr="004D7FF6" w:rsidRDefault="000D5A86" w:rsidP="00DC7046">
            <w:pPr>
              <w:tabs>
                <w:tab w:val="decimal" w:pos="1418"/>
              </w:tabs>
              <w:contextualSpacing/>
              <w:rPr>
                <w:rFonts w:cs="Arial"/>
                <w:sz w:val="18"/>
                <w:szCs w:val="18"/>
                <w:highlight w:val="yellow"/>
                <w:lang w:val="en-US"/>
              </w:rPr>
            </w:pPr>
          </w:p>
        </w:tc>
      </w:tr>
      <w:tr w:rsidR="000D5A86" w:rsidRPr="000D5A86" w14:paraId="3C1ED970" w14:textId="77777777" w:rsidTr="000D5A86">
        <w:trPr>
          <w:trHeight w:val="227"/>
          <w:jc w:val="center"/>
        </w:trPr>
        <w:tc>
          <w:tcPr>
            <w:tcW w:w="5245" w:type="dxa"/>
            <w:tcBorders>
              <w:top w:val="nil"/>
              <w:left w:val="nil"/>
              <w:right w:val="nil"/>
            </w:tcBorders>
            <w:vAlign w:val="bottom"/>
          </w:tcPr>
          <w:p w14:paraId="7FBC77C1" w14:textId="4AAC626B"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szCs w:val="18"/>
              </w:rPr>
            </w:pPr>
            <w:r>
              <w:rPr>
                <w:rFonts w:ascii="Trebuchet MS" w:hAnsi="Trebuchet MS"/>
                <w:color w:val="000000"/>
                <w:szCs w:val="18"/>
              </w:rPr>
              <w:t>Claims paid</w:t>
            </w:r>
          </w:p>
        </w:tc>
        <w:tc>
          <w:tcPr>
            <w:tcW w:w="850" w:type="dxa"/>
            <w:tcBorders>
              <w:top w:val="nil"/>
              <w:left w:val="nil"/>
              <w:right w:val="nil"/>
            </w:tcBorders>
            <w:vAlign w:val="bottom"/>
          </w:tcPr>
          <w:p w14:paraId="7C4B1C00" w14:textId="0B108DF8"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rPr>
            </w:pPr>
            <w:r w:rsidRPr="008F38F1">
              <w:rPr>
                <w:rFonts w:ascii="Trebuchet MS" w:hAnsi="Trebuchet MS" w:cs="Arial"/>
                <w:b/>
                <w:bCs/>
                <w:szCs w:val="18"/>
              </w:rPr>
              <w:t>23</w:t>
            </w:r>
          </w:p>
        </w:tc>
        <w:tc>
          <w:tcPr>
            <w:tcW w:w="1701" w:type="dxa"/>
            <w:tcBorders>
              <w:top w:val="nil"/>
              <w:left w:val="nil"/>
              <w:right w:val="nil"/>
            </w:tcBorders>
            <w:shd w:val="clear" w:color="auto" w:fill="auto"/>
            <w:vAlign w:val="bottom"/>
          </w:tcPr>
          <w:p w14:paraId="687E13A0" w14:textId="52C84060" w:rsidR="000D5A86" w:rsidRPr="004D7FF6" w:rsidRDefault="004D7FF6" w:rsidP="00DC7046">
            <w:pPr>
              <w:tabs>
                <w:tab w:val="decimal" w:pos="1418"/>
              </w:tabs>
              <w:contextualSpacing/>
              <w:rPr>
                <w:rFonts w:cs="Arial"/>
                <w:b/>
                <w:sz w:val="18"/>
                <w:szCs w:val="18"/>
              </w:rPr>
            </w:pPr>
            <w:r w:rsidRPr="004D7FF6">
              <w:rPr>
                <w:rFonts w:cs="Arial"/>
                <w:b/>
                <w:sz w:val="18"/>
                <w:szCs w:val="18"/>
              </w:rPr>
              <w:t>(8,537,942)</w:t>
            </w:r>
          </w:p>
        </w:tc>
        <w:tc>
          <w:tcPr>
            <w:tcW w:w="1701" w:type="dxa"/>
            <w:tcBorders>
              <w:top w:val="nil"/>
              <w:left w:val="nil"/>
              <w:right w:val="nil"/>
            </w:tcBorders>
            <w:shd w:val="clear" w:color="auto" w:fill="auto"/>
            <w:vAlign w:val="bottom"/>
          </w:tcPr>
          <w:p w14:paraId="47C3C30E" w14:textId="7F2ABEF9" w:rsidR="000D5A86" w:rsidRPr="004D7FF6" w:rsidRDefault="000D5A86" w:rsidP="00DC7046">
            <w:pPr>
              <w:tabs>
                <w:tab w:val="decimal" w:pos="1418"/>
              </w:tabs>
              <w:contextualSpacing/>
              <w:rPr>
                <w:rFonts w:cs="Arial"/>
                <w:sz w:val="18"/>
                <w:szCs w:val="18"/>
              </w:rPr>
            </w:pPr>
            <w:r w:rsidRPr="004D7FF6">
              <w:rPr>
                <w:rFonts w:cs="Arial"/>
                <w:sz w:val="18"/>
                <w:szCs w:val="18"/>
              </w:rPr>
              <w:t>(8,064,436)</w:t>
            </w:r>
          </w:p>
        </w:tc>
      </w:tr>
      <w:tr w:rsidR="000D5A86" w:rsidRPr="000D5A86" w14:paraId="195D3D26" w14:textId="77777777" w:rsidTr="000D5A86">
        <w:trPr>
          <w:trHeight w:val="227"/>
          <w:jc w:val="center"/>
        </w:trPr>
        <w:tc>
          <w:tcPr>
            <w:tcW w:w="5245" w:type="dxa"/>
            <w:tcBorders>
              <w:top w:val="nil"/>
              <w:left w:val="nil"/>
              <w:right w:val="nil"/>
            </w:tcBorders>
            <w:vAlign w:val="bottom"/>
          </w:tcPr>
          <w:p w14:paraId="5B6A9A6A" w14:textId="4A57ED0F"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olor w:val="000000"/>
                <w:szCs w:val="18"/>
              </w:rPr>
            </w:pPr>
            <w:r>
              <w:rPr>
                <w:rFonts w:ascii="Trebuchet MS" w:hAnsi="Trebuchet MS"/>
                <w:color w:val="000000"/>
                <w:szCs w:val="18"/>
              </w:rPr>
              <w:t>Claims ceded to reinsurers</w:t>
            </w:r>
          </w:p>
        </w:tc>
        <w:tc>
          <w:tcPr>
            <w:tcW w:w="850" w:type="dxa"/>
            <w:tcBorders>
              <w:top w:val="nil"/>
              <w:left w:val="nil"/>
              <w:right w:val="nil"/>
            </w:tcBorders>
            <w:vAlign w:val="bottom"/>
          </w:tcPr>
          <w:p w14:paraId="23B2A91B" w14:textId="7BF24A0E"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rPr>
            </w:pPr>
            <w:r w:rsidRPr="008F38F1">
              <w:rPr>
                <w:rFonts w:ascii="Trebuchet MS" w:hAnsi="Trebuchet MS" w:cs="Arial"/>
                <w:b/>
                <w:bCs/>
                <w:szCs w:val="18"/>
              </w:rPr>
              <w:t>23</w:t>
            </w:r>
          </w:p>
        </w:tc>
        <w:tc>
          <w:tcPr>
            <w:tcW w:w="1701" w:type="dxa"/>
            <w:tcBorders>
              <w:top w:val="nil"/>
              <w:left w:val="nil"/>
              <w:right w:val="nil"/>
            </w:tcBorders>
            <w:shd w:val="clear" w:color="auto" w:fill="auto"/>
            <w:vAlign w:val="bottom"/>
          </w:tcPr>
          <w:p w14:paraId="180E270F" w14:textId="0EFFB4B1" w:rsidR="000D5A86" w:rsidRPr="004D7FF6" w:rsidRDefault="004D7FF6" w:rsidP="00DC7046">
            <w:pPr>
              <w:tabs>
                <w:tab w:val="decimal" w:pos="1418"/>
              </w:tabs>
              <w:contextualSpacing/>
              <w:rPr>
                <w:rFonts w:cs="Arial"/>
                <w:b/>
                <w:sz w:val="18"/>
                <w:szCs w:val="18"/>
              </w:rPr>
            </w:pPr>
            <w:r w:rsidRPr="004D7FF6">
              <w:rPr>
                <w:rFonts w:cs="Arial"/>
                <w:b/>
                <w:sz w:val="18"/>
                <w:szCs w:val="18"/>
              </w:rPr>
              <w:t>399,129</w:t>
            </w:r>
          </w:p>
        </w:tc>
        <w:tc>
          <w:tcPr>
            <w:tcW w:w="1701" w:type="dxa"/>
            <w:tcBorders>
              <w:top w:val="nil"/>
              <w:left w:val="nil"/>
              <w:right w:val="nil"/>
            </w:tcBorders>
            <w:shd w:val="clear" w:color="auto" w:fill="auto"/>
            <w:vAlign w:val="bottom"/>
          </w:tcPr>
          <w:p w14:paraId="71FD3167" w14:textId="4C2317A7" w:rsidR="000D5A86" w:rsidRPr="004D7FF6" w:rsidRDefault="000D5A86" w:rsidP="00DC7046">
            <w:pPr>
              <w:tabs>
                <w:tab w:val="decimal" w:pos="1418"/>
              </w:tabs>
              <w:contextualSpacing/>
              <w:rPr>
                <w:rFonts w:cs="Arial"/>
                <w:sz w:val="18"/>
                <w:szCs w:val="18"/>
              </w:rPr>
            </w:pPr>
            <w:r w:rsidRPr="004D7FF6">
              <w:rPr>
                <w:rFonts w:cs="Arial"/>
                <w:sz w:val="18"/>
                <w:szCs w:val="18"/>
              </w:rPr>
              <w:t>402,386</w:t>
            </w:r>
          </w:p>
        </w:tc>
      </w:tr>
      <w:tr w:rsidR="000D5A86" w:rsidRPr="000D5A86" w14:paraId="18ED0B0D" w14:textId="77777777" w:rsidTr="000D5A86">
        <w:trPr>
          <w:trHeight w:val="227"/>
          <w:jc w:val="center"/>
        </w:trPr>
        <w:tc>
          <w:tcPr>
            <w:tcW w:w="5245" w:type="dxa"/>
            <w:tcBorders>
              <w:top w:val="nil"/>
              <w:left w:val="nil"/>
              <w:right w:val="nil"/>
            </w:tcBorders>
            <w:vAlign w:val="bottom"/>
          </w:tcPr>
          <w:p w14:paraId="06886001" w14:textId="50FBEC21"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color w:val="000000"/>
                <w:szCs w:val="18"/>
              </w:rPr>
            </w:pPr>
            <w:r>
              <w:rPr>
                <w:rFonts w:ascii="Trebuchet MS" w:hAnsi="Trebuchet MS"/>
                <w:color w:val="000000"/>
                <w:szCs w:val="18"/>
              </w:rPr>
              <w:t>Change in provision for claims, net of reinsurance</w:t>
            </w:r>
          </w:p>
        </w:tc>
        <w:tc>
          <w:tcPr>
            <w:tcW w:w="850" w:type="dxa"/>
            <w:tcBorders>
              <w:top w:val="nil"/>
              <w:left w:val="nil"/>
              <w:right w:val="nil"/>
            </w:tcBorders>
            <w:vAlign w:val="bottom"/>
          </w:tcPr>
          <w:p w14:paraId="38D7B053" w14:textId="156754CA"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rPr>
            </w:pPr>
            <w:r w:rsidRPr="008F38F1">
              <w:rPr>
                <w:rFonts w:ascii="Trebuchet MS" w:hAnsi="Trebuchet MS" w:cs="Arial"/>
                <w:b/>
                <w:bCs/>
                <w:szCs w:val="18"/>
              </w:rPr>
              <w:t>23</w:t>
            </w:r>
          </w:p>
        </w:tc>
        <w:tc>
          <w:tcPr>
            <w:tcW w:w="1701" w:type="dxa"/>
            <w:tcBorders>
              <w:top w:val="nil"/>
              <w:left w:val="nil"/>
              <w:right w:val="nil"/>
            </w:tcBorders>
            <w:shd w:val="clear" w:color="auto" w:fill="auto"/>
            <w:vAlign w:val="bottom"/>
          </w:tcPr>
          <w:p w14:paraId="45942F34" w14:textId="16F20CCD" w:rsidR="000D5A86" w:rsidRPr="004D7FF6" w:rsidRDefault="004D7FF6" w:rsidP="00DC7046">
            <w:pPr>
              <w:tabs>
                <w:tab w:val="decimal" w:pos="1418"/>
              </w:tabs>
              <w:contextualSpacing/>
              <w:rPr>
                <w:rFonts w:cs="Arial"/>
                <w:b/>
                <w:sz w:val="18"/>
                <w:szCs w:val="18"/>
              </w:rPr>
            </w:pPr>
            <w:r w:rsidRPr="004D7FF6">
              <w:rPr>
                <w:rFonts w:cs="Arial"/>
                <w:b/>
                <w:sz w:val="18"/>
                <w:szCs w:val="18"/>
              </w:rPr>
              <w:t>(286,65</w:t>
            </w:r>
            <w:r w:rsidR="00203AE1">
              <w:rPr>
                <w:rFonts w:cs="Arial"/>
                <w:b/>
                <w:sz w:val="18"/>
                <w:szCs w:val="18"/>
              </w:rPr>
              <w:t>3</w:t>
            </w:r>
            <w:r w:rsidRPr="004D7FF6">
              <w:rPr>
                <w:rFonts w:cs="Arial"/>
                <w:b/>
                <w:sz w:val="18"/>
                <w:szCs w:val="18"/>
              </w:rPr>
              <w:t>)</w:t>
            </w:r>
          </w:p>
        </w:tc>
        <w:tc>
          <w:tcPr>
            <w:tcW w:w="1701" w:type="dxa"/>
            <w:tcBorders>
              <w:top w:val="nil"/>
              <w:left w:val="nil"/>
              <w:right w:val="nil"/>
            </w:tcBorders>
            <w:shd w:val="clear" w:color="auto" w:fill="auto"/>
            <w:vAlign w:val="bottom"/>
          </w:tcPr>
          <w:p w14:paraId="60E3A991" w14:textId="08A5D54E" w:rsidR="000D5A86" w:rsidRPr="004D7FF6" w:rsidRDefault="000D5A86" w:rsidP="00DC7046">
            <w:pPr>
              <w:tabs>
                <w:tab w:val="decimal" w:pos="1418"/>
              </w:tabs>
              <w:contextualSpacing/>
              <w:rPr>
                <w:rFonts w:cs="Arial"/>
                <w:sz w:val="18"/>
                <w:szCs w:val="18"/>
              </w:rPr>
            </w:pPr>
            <w:r w:rsidRPr="004D7FF6">
              <w:rPr>
                <w:rFonts w:cs="Arial"/>
                <w:sz w:val="18"/>
                <w:szCs w:val="18"/>
              </w:rPr>
              <w:t>(20,625)</w:t>
            </w:r>
          </w:p>
        </w:tc>
      </w:tr>
      <w:tr w:rsidR="000D5A86" w:rsidRPr="000D5A86" w14:paraId="412D0C51" w14:textId="77777777" w:rsidTr="000D5A86">
        <w:trPr>
          <w:trHeight w:val="227"/>
          <w:jc w:val="center"/>
        </w:trPr>
        <w:tc>
          <w:tcPr>
            <w:tcW w:w="5245" w:type="dxa"/>
            <w:tcBorders>
              <w:top w:val="nil"/>
              <w:left w:val="nil"/>
              <w:right w:val="nil"/>
            </w:tcBorders>
            <w:vAlign w:val="bottom"/>
          </w:tcPr>
          <w:p w14:paraId="58CDB05D" w14:textId="3B86E03E"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color w:val="000000"/>
                <w:szCs w:val="18"/>
              </w:rPr>
            </w:pPr>
            <w:r w:rsidRPr="000D5A86">
              <w:rPr>
                <w:rFonts w:ascii="Trebuchet MS" w:hAnsi="Trebuchet MS"/>
                <w:szCs w:val="18"/>
              </w:rPr>
              <w:t xml:space="preserve">Net </w:t>
            </w:r>
            <w:r>
              <w:rPr>
                <w:rFonts w:ascii="Trebuchet MS" w:hAnsi="Trebuchet MS"/>
                <w:szCs w:val="18"/>
              </w:rPr>
              <w:t>acquisition gains</w:t>
            </w:r>
          </w:p>
        </w:tc>
        <w:tc>
          <w:tcPr>
            <w:tcW w:w="850" w:type="dxa"/>
            <w:tcBorders>
              <w:top w:val="nil"/>
              <w:left w:val="nil"/>
              <w:right w:val="nil"/>
            </w:tcBorders>
            <w:vAlign w:val="bottom"/>
          </w:tcPr>
          <w:p w14:paraId="65F3B3ED" w14:textId="1CA24266"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lang w:val="en-US"/>
              </w:rPr>
            </w:pPr>
            <w:r w:rsidRPr="008F38F1">
              <w:rPr>
                <w:rFonts w:ascii="Trebuchet MS" w:hAnsi="Trebuchet MS" w:cs="Arial"/>
                <w:b/>
                <w:bCs/>
                <w:szCs w:val="18"/>
                <w:lang w:val="en-US"/>
              </w:rPr>
              <w:t>24</w:t>
            </w:r>
          </w:p>
        </w:tc>
        <w:tc>
          <w:tcPr>
            <w:tcW w:w="1701" w:type="dxa"/>
            <w:tcBorders>
              <w:top w:val="nil"/>
              <w:left w:val="nil"/>
              <w:right w:val="nil"/>
            </w:tcBorders>
            <w:shd w:val="clear" w:color="auto" w:fill="auto"/>
            <w:vAlign w:val="bottom"/>
          </w:tcPr>
          <w:p w14:paraId="514A8AA0" w14:textId="23D7B6E7" w:rsidR="000D5A86" w:rsidRPr="004D7FF6" w:rsidRDefault="004D7FF6" w:rsidP="00DC7046">
            <w:pPr>
              <w:tabs>
                <w:tab w:val="decimal" w:pos="1418"/>
              </w:tabs>
              <w:contextualSpacing/>
              <w:rPr>
                <w:rFonts w:cs="Arial"/>
                <w:b/>
                <w:sz w:val="18"/>
                <w:szCs w:val="18"/>
              </w:rPr>
            </w:pPr>
            <w:r w:rsidRPr="004D7FF6">
              <w:rPr>
                <w:rFonts w:cs="Arial"/>
                <w:b/>
                <w:sz w:val="18"/>
                <w:szCs w:val="18"/>
              </w:rPr>
              <w:t>(</w:t>
            </w:r>
            <w:r w:rsidR="00203AE1">
              <w:rPr>
                <w:rFonts w:cs="Arial"/>
                <w:b/>
                <w:sz w:val="18"/>
                <w:szCs w:val="18"/>
              </w:rPr>
              <w:t>51,542</w:t>
            </w:r>
            <w:r w:rsidRPr="004D7FF6">
              <w:rPr>
                <w:rFonts w:cs="Arial"/>
                <w:b/>
                <w:sz w:val="18"/>
                <w:szCs w:val="18"/>
              </w:rPr>
              <w:t>)</w:t>
            </w:r>
          </w:p>
        </w:tc>
        <w:tc>
          <w:tcPr>
            <w:tcW w:w="1701" w:type="dxa"/>
            <w:tcBorders>
              <w:top w:val="nil"/>
              <w:left w:val="nil"/>
              <w:right w:val="nil"/>
            </w:tcBorders>
            <w:shd w:val="clear" w:color="auto" w:fill="auto"/>
            <w:vAlign w:val="bottom"/>
          </w:tcPr>
          <w:p w14:paraId="33B4FBCF" w14:textId="1FD1BDAE" w:rsidR="000D5A86" w:rsidRPr="004D7FF6" w:rsidRDefault="000D5A86" w:rsidP="00DC7046">
            <w:pPr>
              <w:tabs>
                <w:tab w:val="decimal" w:pos="1418"/>
              </w:tabs>
              <w:contextualSpacing/>
              <w:rPr>
                <w:rFonts w:cs="Arial"/>
                <w:sz w:val="18"/>
                <w:szCs w:val="18"/>
              </w:rPr>
            </w:pPr>
            <w:r w:rsidRPr="004D7FF6">
              <w:rPr>
                <w:rFonts w:cs="Arial"/>
                <w:sz w:val="18"/>
                <w:szCs w:val="18"/>
              </w:rPr>
              <w:t>48,964</w:t>
            </w:r>
          </w:p>
        </w:tc>
      </w:tr>
      <w:tr w:rsidR="000D5A86" w:rsidRPr="000D5A86" w14:paraId="3A8A1D32" w14:textId="77777777" w:rsidTr="000D5A86">
        <w:trPr>
          <w:trHeight w:val="227"/>
          <w:jc w:val="center"/>
        </w:trPr>
        <w:tc>
          <w:tcPr>
            <w:tcW w:w="5245" w:type="dxa"/>
            <w:tcBorders>
              <w:top w:val="single" w:sz="4" w:space="0" w:color="auto"/>
              <w:left w:val="nil"/>
              <w:bottom w:val="nil"/>
              <w:right w:val="nil"/>
            </w:tcBorders>
            <w:vAlign w:val="bottom"/>
          </w:tcPr>
          <w:p w14:paraId="783E4A47" w14:textId="791BB80F"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r>
              <w:rPr>
                <w:rFonts w:ascii="Trebuchet MS" w:hAnsi="Trebuchet MS"/>
                <w:b/>
                <w:szCs w:val="18"/>
              </w:rPr>
              <w:t>Insurance activity results</w:t>
            </w:r>
          </w:p>
        </w:tc>
        <w:tc>
          <w:tcPr>
            <w:tcW w:w="850" w:type="dxa"/>
            <w:tcBorders>
              <w:top w:val="single" w:sz="4" w:space="0" w:color="auto"/>
              <w:left w:val="nil"/>
              <w:bottom w:val="nil"/>
              <w:right w:val="nil"/>
            </w:tcBorders>
            <w:vAlign w:val="bottom"/>
          </w:tcPr>
          <w:p w14:paraId="08B4713E"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lang w:val="ru-RU"/>
              </w:rPr>
            </w:pPr>
          </w:p>
        </w:tc>
        <w:tc>
          <w:tcPr>
            <w:tcW w:w="1701" w:type="dxa"/>
            <w:tcBorders>
              <w:top w:val="single" w:sz="4" w:space="0" w:color="auto"/>
              <w:left w:val="nil"/>
              <w:bottom w:val="nil"/>
              <w:right w:val="nil"/>
            </w:tcBorders>
            <w:shd w:val="clear" w:color="auto" w:fill="auto"/>
            <w:vAlign w:val="bottom"/>
          </w:tcPr>
          <w:p w14:paraId="0D691D49" w14:textId="56A7D1D8" w:rsidR="000D5A86" w:rsidRPr="004D7FF6" w:rsidRDefault="004D7FF6" w:rsidP="00DC7046">
            <w:pPr>
              <w:tabs>
                <w:tab w:val="decimal" w:pos="1418"/>
              </w:tabs>
              <w:contextualSpacing/>
              <w:rPr>
                <w:rFonts w:cs="Arial"/>
                <w:b/>
                <w:sz w:val="18"/>
                <w:szCs w:val="18"/>
              </w:rPr>
            </w:pPr>
            <w:r w:rsidRPr="004D7FF6">
              <w:rPr>
                <w:rFonts w:cs="Arial"/>
                <w:b/>
                <w:sz w:val="18"/>
                <w:szCs w:val="18"/>
              </w:rPr>
              <w:t>3,686,6</w:t>
            </w:r>
            <w:r w:rsidR="00203AE1">
              <w:rPr>
                <w:rFonts w:cs="Arial"/>
                <w:b/>
                <w:sz w:val="18"/>
                <w:szCs w:val="18"/>
              </w:rPr>
              <w:t>40</w:t>
            </w:r>
          </w:p>
        </w:tc>
        <w:tc>
          <w:tcPr>
            <w:tcW w:w="1701" w:type="dxa"/>
            <w:tcBorders>
              <w:top w:val="single" w:sz="4" w:space="0" w:color="auto"/>
              <w:left w:val="nil"/>
              <w:bottom w:val="nil"/>
              <w:right w:val="nil"/>
            </w:tcBorders>
            <w:shd w:val="clear" w:color="auto" w:fill="auto"/>
            <w:vAlign w:val="bottom"/>
          </w:tcPr>
          <w:p w14:paraId="1495311F" w14:textId="1FD4D351" w:rsidR="000D5A86" w:rsidRPr="004D7FF6" w:rsidRDefault="000D5A86" w:rsidP="00DC7046">
            <w:pPr>
              <w:tabs>
                <w:tab w:val="decimal" w:pos="1418"/>
              </w:tabs>
              <w:contextualSpacing/>
              <w:rPr>
                <w:rFonts w:cs="Arial"/>
                <w:sz w:val="18"/>
                <w:szCs w:val="18"/>
              </w:rPr>
            </w:pPr>
            <w:r w:rsidRPr="004D7FF6">
              <w:rPr>
                <w:rFonts w:cs="Arial"/>
                <w:sz w:val="18"/>
                <w:szCs w:val="18"/>
              </w:rPr>
              <w:t>4,346,784</w:t>
            </w:r>
          </w:p>
        </w:tc>
      </w:tr>
      <w:tr w:rsidR="000D5A86" w:rsidRPr="000D5A86" w14:paraId="68E3E5A4" w14:textId="77777777" w:rsidTr="000D5A86">
        <w:trPr>
          <w:trHeight w:val="227"/>
          <w:jc w:val="center"/>
        </w:trPr>
        <w:tc>
          <w:tcPr>
            <w:tcW w:w="5245" w:type="dxa"/>
            <w:tcBorders>
              <w:top w:val="nil"/>
              <w:left w:val="nil"/>
              <w:right w:val="nil"/>
            </w:tcBorders>
            <w:vAlign w:val="bottom"/>
          </w:tcPr>
          <w:p w14:paraId="5F8EE413" w14:textId="77777777"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szCs w:val="18"/>
              </w:rPr>
            </w:pPr>
            <w:r w:rsidRPr="000D5A86">
              <w:rPr>
                <w:rFonts w:ascii="Trebuchet MS" w:hAnsi="Trebuchet MS"/>
                <w:szCs w:val="18"/>
              </w:rPr>
              <w:t xml:space="preserve"> </w:t>
            </w:r>
          </w:p>
        </w:tc>
        <w:tc>
          <w:tcPr>
            <w:tcW w:w="850" w:type="dxa"/>
            <w:tcBorders>
              <w:top w:val="nil"/>
              <w:left w:val="nil"/>
              <w:right w:val="nil"/>
            </w:tcBorders>
            <w:vAlign w:val="bottom"/>
          </w:tcPr>
          <w:p w14:paraId="07D08FBD"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lang w:val="ru-RU"/>
              </w:rPr>
            </w:pPr>
          </w:p>
        </w:tc>
        <w:tc>
          <w:tcPr>
            <w:tcW w:w="1701" w:type="dxa"/>
            <w:tcBorders>
              <w:top w:val="nil"/>
              <w:left w:val="nil"/>
              <w:right w:val="nil"/>
            </w:tcBorders>
            <w:shd w:val="clear" w:color="auto" w:fill="auto"/>
            <w:vAlign w:val="bottom"/>
          </w:tcPr>
          <w:p w14:paraId="6726E92D" w14:textId="77777777" w:rsidR="000D5A86" w:rsidRPr="004D7FF6" w:rsidRDefault="000D5A86" w:rsidP="00DC7046">
            <w:pPr>
              <w:tabs>
                <w:tab w:val="decimal" w:pos="1418"/>
              </w:tabs>
              <w:contextualSpacing/>
              <w:rPr>
                <w:rFonts w:cs="Arial"/>
                <w:b/>
                <w:sz w:val="18"/>
                <w:szCs w:val="18"/>
                <w:lang w:val="ru-RU"/>
              </w:rPr>
            </w:pPr>
          </w:p>
        </w:tc>
        <w:tc>
          <w:tcPr>
            <w:tcW w:w="1701" w:type="dxa"/>
            <w:tcBorders>
              <w:top w:val="nil"/>
              <w:left w:val="nil"/>
              <w:right w:val="nil"/>
            </w:tcBorders>
            <w:shd w:val="clear" w:color="auto" w:fill="auto"/>
            <w:vAlign w:val="bottom"/>
          </w:tcPr>
          <w:p w14:paraId="5ACC40EF" w14:textId="77777777" w:rsidR="000D5A86" w:rsidRPr="004D7FF6" w:rsidRDefault="000D5A86" w:rsidP="00DC7046">
            <w:pPr>
              <w:tabs>
                <w:tab w:val="decimal" w:pos="1418"/>
              </w:tabs>
              <w:contextualSpacing/>
              <w:rPr>
                <w:rFonts w:cs="Arial"/>
                <w:sz w:val="18"/>
                <w:szCs w:val="18"/>
                <w:highlight w:val="yellow"/>
                <w:lang w:val="ru-RU"/>
              </w:rPr>
            </w:pPr>
          </w:p>
        </w:tc>
      </w:tr>
      <w:tr w:rsidR="000D5A86" w:rsidRPr="000D5A86" w14:paraId="0F7C699B" w14:textId="77777777" w:rsidTr="000D5A86">
        <w:trPr>
          <w:trHeight w:val="227"/>
          <w:jc w:val="center"/>
        </w:trPr>
        <w:tc>
          <w:tcPr>
            <w:tcW w:w="5245" w:type="dxa"/>
            <w:tcBorders>
              <w:top w:val="nil"/>
              <w:left w:val="nil"/>
              <w:right w:val="nil"/>
            </w:tcBorders>
            <w:vAlign w:val="bottom"/>
          </w:tcPr>
          <w:p w14:paraId="09EDB619" w14:textId="0658DF8E"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color w:val="000000"/>
                <w:szCs w:val="18"/>
              </w:rPr>
            </w:pPr>
            <w:r>
              <w:rPr>
                <w:rFonts w:ascii="Trebuchet MS" w:hAnsi="Trebuchet MS"/>
                <w:color w:val="000000"/>
                <w:szCs w:val="18"/>
              </w:rPr>
              <w:t>Operating expenses</w:t>
            </w:r>
          </w:p>
        </w:tc>
        <w:tc>
          <w:tcPr>
            <w:tcW w:w="850" w:type="dxa"/>
            <w:tcBorders>
              <w:top w:val="nil"/>
              <w:left w:val="nil"/>
              <w:right w:val="nil"/>
            </w:tcBorders>
            <w:vAlign w:val="bottom"/>
          </w:tcPr>
          <w:p w14:paraId="7F6F97AC" w14:textId="6A413030"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lang w:val="en-US"/>
              </w:rPr>
            </w:pPr>
            <w:r>
              <w:rPr>
                <w:rFonts w:ascii="Trebuchet MS" w:hAnsi="Trebuchet MS" w:cs="Arial"/>
                <w:b/>
                <w:bCs/>
                <w:szCs w:val="18"/>
                <w:lang w:val="en-US"/>
              </w:rPr>
              <w:t>25</w:t>
            </w:r>
          </w:p>
        </w:tc>
        <w:tc>
          <w:tcPr>
            <w:tcW w:w="1701" w:type="dxa"/>
            <w:tcBorders>
              <w:top w:val="nil"/>
              <w:left w:val="nil"/>
              <w:right w:val="nil"/>
            </w:tcBorders>
            <w:shd w:val="clear" w:color="auto" w:fill="auto"/>
            <w:vAlign w:val="bottom"/>
          </w:tcPr>
          <w:p w14:paraId="771AA355" w14:textId="6ABA0A60" w:rsidR="000D5A86" w:rsidRPr="004D7FF6" w:rsidRDefault="004D7FF6" w:rsidP="00DC7046">
            <w:pPr>
              <w:tabs>
                <w:tab w:val="decimal" w:pos="1418"/>
              </w:tabs>
              <w:contextualSpacing/>
              <w:rPr>
                <w:rFonts w:cs="Arial"/>
                <w:b/>
                <w:sz w:val="18"/>
                <w:szCs w:val="18"/>
              </w:rPr>
            </w:pPr>
            <w:r>
              <w:rPr>
                <w:rFonts w:cs="Arial"/>
                <w:b/>
                <w:sz w:val="18"/>
                <w:szCs w:val="18"/>
              </w:rPr>
              <w:t>(2,135,0</w:t>
            </w:r>
            <w:r w:rsidR="00203AE1">
              <w:rPr>
                <w:rFonts w:cs="Arial"/>
                <w:b/>
                <w:sz w:val="18"/>
                <w:szCs w:val="18"/>
              </w:rPr>
              <w:t>53</w:t>
            </w:r>
            <w:r>
              <w:rPr>
                <w:rFonts w:cs="Arial"/>
                <w:b/>
                <w:sz w:val="18"/>
                <w:szCs w:val="18"/>
              </w:rPr>
              <w:t>)</w:t>
            </w:r>
          </w:p>
        </w:tc>
        <w:tc>
          <w:tcPr>
            <w:tcW w:w="1701" w:type="dxa"/>
            <w:tcBorders>
              <w:top w:val="nil"/>
              <w:left w:val="nil"/>
              <w:right w:val="nil"/>
            </w:tcBorders>
            <w:shd w:val="clear" w:color="auto" w:fill="auto"/>
            <w:vAlign w:val="bottom"/>
          </w:tcPr>
          <w:p w14:paraId="53F8EBD7" w14:textId="4A99ED87" w:rsidR="000D5A86" w:rsidRPr="004D7FF6" w:rsidRDefault="00B45FAE" w:rsidP="00DC7046">
            <w:pPr>
              <w:tabs>
                <w:tab w:val="decimal" w:pos="1418"/>
              </w:tabs>
              <w:contextualSpacing/>
              <w:rPr>
                <w:rFonts w:cs="Arial"/>
                <w:sz w:val="18"/>
                <w:szCs w:val="18"/>
              </w:rPr>
            </w:pPr>
            <w:r w:rsidRPr="004D7FF6">
              <w:rPr>
                <w:rFonts w:cs="Arial"/>
                <w:sz w:val="18"/>
                <w:szCs w:val="18"/>
              </w:rPr>
              <w:t>(1,</w:t>
            </w:r>
            <w:r w:rsidR="007F7170">
              <w:rPr>
                <w:rFonts w:cs="Arial"/>
                <w:sz w:val="18"/>
                <w:szCs w:val="18"/>
              </w:rPr>
              <w:t>858,910</w:t>
            </w:r>
            <w:r w:rsidRPr="004D7FF6">
              <w:rPr>
                <w:rFonts w:cs="Arial"/>
                <w:sz w:val="18"/>
                <w:szCs w:val="18"/>
              </w:rPr>
              <w:t>)</w:t>
            </w:r>
          </w:p>
        </w:tc>
      </w:tr>
      <w:tr w:rsidR="004D7FF6" w:rsidRPr="000D5A86" w14:paraId="3C1BBEBD" w14:textId="77777777" w:rsidTr="000D5A86">
        <w:trPr>
          <w:trHeight w:val="227"/>
          <w:jc w:val="center"/>
        </w:trPr>
        <w:tc>
          <w:tcPr>
            <w:tcW w:w="5245" w:type="dxa"/>
            <w:tcBorders>
              <w:top w:val="nil"/>
              <w:left w:val="nil"/>
              <w:right w:val="nil"/>
            </w:tcBorders>
            <w:vAlign w:val="bottom"/>
          </w:tcPr>
          <w:p w14:paraId="4FD7F229" w14:textId="604ADB4B" w:rsidR="004D7FF6" w:rsidRDefault="004D7FF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olor w:val="000000"/>
                <w:szCs w:val="18"/>
              </w:rPr>
            </w:pPr>
            <w:r>
              <w:rPr>
                <w:rFonts w:ascii="Trebuchet MS" w:hAnsi="Trebuchet MS"/>
                <w:color w:val="000000"/>
                <w:szCs w:val="18"/>
              </w:rPr>
              <w:t>Provision for impairment loss on financial assets</w:t>
            </w:r>
          </w:p>
        </w:tc>
        <w:tc>
          <w:tcPr>
            <w:tcW w:w="850" w:type="dxa"/>
            <w:tcBorders>
              <w:top w:val="nil"/>
              <w:left w:val="nil"/>
              <w:right w:val="nil"/>
            </w:tcBorders>
            <w:vAlign w:val="bottom"/>
          </w:tcPr>
          <w:p w14:paraId="2A71DFAB" w14:textId="77777777" w:rsidR="004D7FF6" w:rsidRPr="008F38F1" w:rsidRDefault="004D7FF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lang w:val="en-US"/>
              </w:rPr>
            </w:pPr>
          </w:p>
        </w:tc>
        <w:tc>
          <w:tcPr>
            <w:tcW w:w="1701" w:type="dxa"/>
            <w:tcBorders>
              <w:top w:val="nil"/>
              <w:left w:val="nil"/>
              <w:right w:val="nil"/>
            </w:tcBorders>
            <w:shd w:val="clear" w:color="auto" w:fill="auto"/>
            <w:vAlign w:val="bottom"/>
          </w:tcPr>
          <w:p w14:paraId="6D9E759D" w14:textId="08C99D10" w:rsidR="004D7FF6" w:rsidRDefault="004D7FF6" w:rsidP="00DC7046">
            <w:pPr>
              <w:tabs>
                <w:tab w:val="decimal" w:pos="1418"/>
              </w:tabs>
              <w:contextualSpacing/>
              <w:rPr>
                <w:rFonts w:cs="Arial"/>
                <w:b/>
                <w:sz w:val="18"/>
                <w:szCs w:val="18"/>
              </w:rPr>
            </w:pPr>
            <w:r>
              <w:rPr>
                <w:rFonts w:cs="Arial"/>
                <w:b/>
                <w:sz w:val="18"/>
                <w:szCs w:val="18"/>
              </w:rPr>
              <w:t>(43,834)</w:t>
            </w:r>
          </w:p>
        </w:tc>
        <w:tc>
          <w:tcPr>
            <w:tcW w:w="1701" w:type="dxa"/>
            <w:tcBorders>
              <w:top w:val="nil"/>
              <w:left w:val="nil"/>
              <w:right w:val="nil"/>
            </w:tcBorders>
            <w:shd w:val="clear" w:color="auto" w:fill="auto"/>
            <w:vAlign w:val="bottom"/>
          </w:tcPr>
          <w:p w14:paraId="731307B6" w14:textId="399B1733" w:rsidR="004D7FF6" w:rsidRPr="004D7FF6" w:rsidRDefault="004D7FF6" w:rsidP="00DC7046">
            <w:pPr>
              <w:tabs>
                <w:tab w:val="decimal" w:pos="1418"/>
              </w:tabs>
              <w:contextualSpacing/>
              <w:rPr>
                <w:rFonts w:cs="Arial"/>
                <w:sz w:val="18"/>
                <w:szCs w:val="18"/>
              </w:rPr>
            </w:pPr>
            <w:r>
              <w:rPr>
                <w:rFonts w:cs="Arial"/>
                <w:sz w:val="18"/>
                <w:szCs w:val="18"/>
              </w:rPr>
              <w:t>-</w:t>
            </w:r>
          </w:p>
        </w:tc>
      </w:tr>
      <w:tr w:rsidR="000D5A86" w:rsidRPr="000D5A86" w14:paraId="30BED569" w14:textId="77777777" w:rsidTr="000D5A86">
        <w:trPr>
          <w:trHeight w:val="227"/>
          <w:jc w:val="center"/>
        </w:trPr>
        <w:tc>
          <w:tcPr>
            <w:tcW w:w="5245" w:type="dxa"/>
            <w:tcBorders>
              <w:top w:val="nil"/>
              <w:left w:val="nil"/>
              <w:right w:val="nil"/>
            </w:tcBorders>
            <w:vAlign w:val="bottom"/>
          </w:tcPr>
          <w:p w14:paraId="445798B1" w14:textId="0F0E3A30"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olor w:val="000000"/>
                <w:szCs w:val="18"/>
              </w:rPr>
            </w:pPr>
            <w:r>
              <w:rPr>
                <w:rFonts w:ascii="Trebuchet MS" w:hAnsi="Trebuchet MS"/>
                <w:color w:val="000000"/>
                <w:szCs w:val="18"/>
              </w:rPr>
              <w:t>Interest income</w:t>
            </w:r>
            <w:r w:rsidR="004D7FF6">
              <w:rPr>
                <w:rFonts w:ascii="Trebuchet MS" w:hAnsi="Trebuchet MS"/>
                <w:color w:val="000000"/>
                <w:szCs w:val="18"/>
              </w:rPr>
              <w:t>, net</w:t>
            </w:r>
          </w:p>
        </w:tc>
        <w:tc>
          <w:tcPr>
            <w:tcW w:w="850" w:type="dxa"/>
            <w:tcBorders>
              <w:top w:val="nil"/>
              <w:left w:val="nil"/>
              <w:right w:val="nil"/>
            </w:tcBorders>
            <w:vAlign w:val="bottom"/>
          </w:tcPr>
          <w:p w14:paraId="6F899E82" w14:textId="4AD38B1E"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rPr>
            </w:pPr>
            <w:r>
              <w:rPr>
                <w:rFonts w:ascii="Trebuchet MS" w:hAnsi="Trebuchet MS" w:cs="Arial"/>
                <w:b/>
                <w:bCs/>
                <w:szCs w:val="18"/>
              </w:rPr>
              <w:t>26</w:t>
            </w:r>
          </w:p>
        </w:tc>
        <w:tc>
          <w:tcPr>
            <w:tcW w:w="1701" w:type="dxa"/>
            <w:tcBorders>
              <w:top w:val="nil"/>
              <w:left w:val="nil"/>
              <w:right w:val="nil"/>
            </w:tcBorders>
            <w:shd w:val="clear" w:color="auto" w:fill="auto"/>
            <w:vAlign w:val="bottom"/>
          </w:tcPr>
          <w:p w14:paraId="0D92C3C3" w14:textId="6A3C08B0" w:rsidR="000D5A86" w:rsidRPr="004D7FF6" w:rsidRDefault="004D7FF6" w:rsidP="00DC7046">
            <w:pPr>
              <w:tabs>
                <w:tab w:val="decimal" w:pos="1418"/>
              </w:tabs>
              <w:contextualSpacing/>
              <w:rPr>
                <w:rFonts w:cs="Arial"/>
                <w:b/>
                <w:sz w:val="18"/>
                <w:szCs w:val="18"/>
              </w:rPr>
            </w:pPr>
            <w:r>
              <w:rPr>
                <w:rFonts w:cs="Arial"/>
                <w:b/>
                <w:sz w:val="18"/>
                <w:szCs w:val="18"/>
              </w:rPr>
              <w:t>224,203</w:t>
            </w:r>
          </w:p>
        </w:tc>
        <w:tc>
          <w:tcPr>
            <w:tcW w:w="1701" w:type="dxa"/>
            <w:tcBorders>
              <w:top w:val="nil"/>
              <w:left w:val="nil"/>
              <w:right w:val="nil"/>
            </w:tcBorders>
            <w:shd w:val="clear" w:color="auto" w:fill="auto"/>
            <w:vAlign w:val="bottom"/>
          </w:tcPr>
          <w:p w14:paraId="526CBDEC" w14:textId="30318E82" w:rsidR="000D5A86" w:rsidRPr="004D7FF6" w:rsidRDefault="00B45FAE" w:rsidP="00DC7046">
            <w:pPr>
              <w:tabs>
                <w:tab w:val="decimal" w:pos="1418"/>
              </w:tabs>
              <w:contextualSpacing/>
              <w:rPr>
                <w:rFonts w:cs="Arial"/>
                <w:sz w:val="18"/>
                <w:szCs w:val="18"/>
              </w:rPr>
            </w:pPr>
            <w:r w:rsidRPr="004D7FF6">
              <w:rPr>
                <w:rFonts w:cs="Arial"/>
                <w:sz w:val="18"/>
                <w:szCs w:val="18"/>
              </w:rPr>
              <w:t>199,903</w:t>
            </w:r>
          </w:p>
        </w:tc>
      </w:tr>
      <w:tr w:rsidR="000D5A86" w:rsidRPr="000D5A86" w14:paraId="752544EC" w14:textId="77777777" w:rsidTr="000D5A86">
        <w:trPr>
          <w:trHeight w:val="227"/>
          <w:jc w:val="center"/>
        </w:trPr>
        <w:tc>
          <w:tcPr>
            <w:tcW w:w="5245" w:type="dxa"/>
            <w:tcBorders>
              <w:top w:val="nil"/>
              <w:left w:val="nil"/>
              <w:right w:val="nil"/>
            </w:tcBorders>
            <w:vAlign w:val="bottom"/>
          </w:tcPr>
          <w:p w14:paraId="5558D7B1" w14:textId="08D1DC49" w:rsid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olor w:val="000000"/>
                <w:szCs w:val="18"/>
              </w:rPr>
            </w:pPr>
            <w:r>
              <w:rPr>
                <w:rFonts w:ascii="Trebuchet MS" w:hAnsi="Trebuchet MS"/>
                <w:color w:val="000000"/>
                <w:szCs w:val="18"/>
              </w:rPr>
              <w:t>Foreign exchange gain/(loss)</w:t>
            </w:r>
          </w:p>
        </w:tc>
        <w:tc>
          <w:tcPr>
            <w:tcW w:w="850" w:type="dxa"/>
            <w:tcBorders>
              <w:top w:val="nil"/>
              <w:left w:val="nil"/>
              <w:right w:val="nil"/>
            </w:tcBorders>
            <w:vAlign w:val="bottom"/>
          </w:tcPr>
          <w:p w14:paraId="4C577BBD" w14:textId="25DB83BB"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rPr>
            </w:pPr>
          </w:p>
        </w:tc>
        <w:tc>
          <w:tcPr>
            <w:tcW w:w="1701" w:type="dxa"/>
            <w:tcBorders>
              <w:top w:val="nil"/>
              <w:left w:val="nil"/>
              <w:right w:val="nil"/>
            </w:tcBorders>
            <w:shd w:val="clear" w:color="auto" w:fill="auto"/>
            <w:vAlign w:val="bottom"/>
          </w:tcPr>
          <w:p w14:paraId="5332E4B7" w14:textId="784B4A7B" w:rsidR="000D5A86" w:rsidRPr="004D7FF6" w:rsidRDefault="004D7FF6" w:rsidP="00DC7046">
            <w:pPr>
              <w:tabs>
                <w:tab w:val="decimal" w:pos="1418"/>
              </w:tabs>
              <w:contextualSpacing/>
              <w:rPr>
                <w:rFonts w:cs="Arial"/>
                <w:b/>
                <w:sz w:val="18"/>
                <w:szCs w:val="18"/>
              </w:rPr>
            </w:pPr>
            <w:r>
              <w:rPr>
                <w:rFonts w:cs="Arial"/>
                <w:b/>
                <w:sz w:val="18"/>
                <w:szCs w:val="18"/>
              </w:rPr>
              <w:t>19,119</w:t>
            </w:r>
          </w:p>
        </w:tc>
        <w:tc>
          <w:tcPr>
            <w:tcW w:w="1701" w:type="dxa"/>
            <w:tcBorders>
              <w:top w:val="nil"/>
              <w:left w:val="nil"/>
              <w:right w:val="nil"/>
            </w:tcBorders>
            <w:shd w:val="clear" w:color="auto" w:fill="auto"/>
            <w:vAlign w:val="bottom"/>
          </w:tcPr>
          <w:p w14:paraId="627D1F43" w14:textId="4FEFC4EC" w:rsidR="000D5A86" w:rsidRPr="004D7FF6" w:rsidRDefault="00B45FAE" w:rsidP="00DC7046">
            <w:pPr>
              <w:tabs>
                <w:tab w:val="decimal" w:pos="1418"/>
              </w:tabs>
              <w:contextualSpacing/>
              <w:rPr>
                <w:rFonts w:cs="Arial"/>
                <w:sz w:val="18"/>
                <w:szCs w:val="18"/>
              </w:rPr>
            </w:pPr>
            <w:r w:rsidRPr="004D7FF6">
              <w:rPr>
                <w:rFonts w:cs="Arial"/>
                <w:sz w:val="18"/>
                <w:szCs w:val="18"/>
              </w:rPr>
              <w:t>42,103</w:t>
            </w:r>
          </w:p>
        </w:tc>
      </w:tr>
      <w:tr w:rsidR="000D5A86" w:rsidRPr="000D5A86" w14:paraId="7BB90BD8" w14:textId="77777777" w:rsidTr="000D5A86">
        <w:trPr>
          <w:trHeight w:val="227"/>
          <w:jc w:val="center"/>
        </w:trPr>
        <w:tc>
          <w:tcPr>
            <w:tcW w:w="5245" w:type="dxa"/>
            <w:tcBorders>
              <w:left w:val="nil"/>
              <w:bottom w:val="single" w:sz="4" w:space="0" w:color="auto"/>
              <w:right w:val="nil"/>
            </w:tcBorders>
            <w:vAlign w:val="bottom"/>
          </w:tcPr>
          <w:p w14:paraId="2E8B435B" w14:textId="60F1A069" w:rsidR="000D5A86" w:rsidRPr="000D5A86" w:rsidRDefault="00203AE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olor w:val="000000"/>
                <w:szCs w:val="18"/>
              </w:rPr>
            </w:pPr>
            <w:r>
              <w:rPr>
                <w:rFonts w:ascii="Trebuchet MS" w:hAnsi="Trebuchet MS"/>
                <w:color w:val="000000"/>
                <w:szCs w:val="18"/>
              </w:rPr>
              <w:t>Lease</w:t>
            </w:r>
            <w:r w:rsidR="000D5A86">
              <w:rPr>
                <w:rFonts w:ascii="Trebuchet MS" w:hAnsi="Trebuchet MS"/>
                <w:color w:val="000000"/>
                <w:szCs w:val="18"/>
              </w:rPr>
              <w:t xml:space="preserve"> income</w:t>
            </w:r>
          </w:p>
        </w:tc>
        <w:tc>
          <w:tcPr>
            <w:tcW w:w="850" w:type="dxa"/>
            <w:tcBorders>
              <w:left w:val="nil"/>
              <w:bottom w:val="single" w:sz="4" w:space="0" w:color="auto"/>
              <w:right w:val="nil"/>
            </w:tcBorders>
            <w:vAlign w:val="bottom"/>
          </w:tcPr>
          <w:p w14:paraId="2FA3D2B3" w14:textId="0E1D7367"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spacing w:line="240" w:lineRule="auto"/>
              <w:ind w:left="-108" w:right="-108" w:firstLine="0"/>
              <w:contextualSpacing/>
              <w:jc w:val="center"/>
              <w:rPr>
                <w:rFonts w:ascii="Trebuchet MS" w:hAnsi="Trebuchet MS" w:cs="Arial"/>
                <w:b/>
                <w:bCs/>
                <w:szCs w:val="18"/>
              </w:rPr>
            </w:pPr>
            <w:r>
              <w:rPr>
                <w:rFonts w:ascii="Trebuchet MS" w:hAnsi="Trebuchet MS" w:cs="Arial"/>
                <w:b/>
                <w:bCs/>
                <w:szCs w:val="18"/>
              </w:rPr>
              <w:t>27</w:t>
            </w:r>
          </w:p>
        </w:tc>
        <w:tc>
          <w:tcPr>
            <w:tcW w:w="1701" w:type="dxa"/>
            <w:tcBorders>
              <w:left w:val="nil"/>
              <w:bottom w:val="single" w:sz="4" w:space="0" w:color="auto"/>
              <w:right w:val="nil"/>
            </w:tcBorders>
            <w:shd w:val="clear" w:color="auto" w:fill="auto"/>
            <w:vAlign w:val="bottom"/>
          </w:tcPr>
          <w:p w14:paraId="3AD6F24C" w14:textId="26DF5BE3" w:rsidR="000D5A86" w:rsidRPr="004D7FF6" w:rsidRDefault="004D7FF6" w:rsidP="00DC7046">
            <w:pPr>
              <w:tabs>
                <w:tab w:val="decimal" w:pos="1418"/>
              </w:tabs>
              <w:contextualSpacing/>
              <w:rPr>
                <w:rFonts w:cs="Arial"/>
                <w:b/>
                <w:sz w:val="18"/>
                <w:szCs w:val="18"/>
              </w:rPr>
            </w:pPr>
            <w:r>
              <w:rPr>
                <w:rFonts w:cs="Arial"/>
                <w:b/>
                <w:sz w:val="18"/>
                <w:szCs w:val="18"/>
              </w:rPr>
              <w:t>80,400</w:t>
            </w:r>
          </w:p>
        </w:tc>
        <w:tc>
          <w:tcPr>
            <w:tcW w:w="1701" w:type="dxa"/>
            <w:tcBorders>
              <w:left w:val="nil"/>
              <w:bottom w:val="single" w:sz="4" w:space="0" w:color="auto"/>
              <w:right w:val="nil"/>
            </w:tcBorders>
            <w:shd w:val="clear" w:color="auto" w:fill="auto"/>
            <w:vAlign w:val="bottom"/>
          </w:tcPr>
          <w:p w14:paraId="631A1C35" w14:textId="2B3908FE" w:rsidR="000D5A86" w:rsidRPr="004D7FF6" w:rsidRDefault="00B45FAE" w:rsidP="00DC7046">
            <w:pPr>
              <w:tabs>
                <w:tab w:val="decimal" w:pos="1418"/>
              </w:tabs>
              <w:contextualSpacing/>
              <w:rPr>
                <w:rFonts w:cs="Arial"/>
                <w:sz w:val="18"/>
                <w:szCs w:val="18"/>
              </w:rPr>
            </w:pPr>
            <w:r w:rsidRPr="004D7FF6">
              <w:rPr>
                <w:rFonts w:cs="Arial"/>
                <w:sz w:val="18"/>
                <w:szCs w:val="18"/>
              </w:rPr>
              <w:t>74,467</w:t>
            </w:r>
          </w:p>
        </w:tc>
      </w:tr>
      <w:tr w:rsidR="000D5A86" w:rsidRPr="000D5A86" w14:paraId="15D8A037" w14:textId="77777777" w:rsidTr="00B45FAE">
        <w:trPr>
          <w:trHeight w:val="227"/>
          <w:jc w:val="center"/>
        </w:trPr>
        <w:tc>
          <w:tcPr>
            <w:tcW w:w="5245" w:type="dxa"/>
            <w:tcBorders>
              <w:top w:val="single" w:sz="4" w:space="0" w:color="auto"/>
              <w:left w:val="nil"/>
              <w:right w:val="nil"/>
            </w:tcBorders>
            <w:vAlign w:val="bottom"/>
          </w:tcPr>
          <w:p w14:paraId="32EC1243" w14:textId="7C0889BE" w:rsidR="000D5A86" w:rsidRPr="000D5A86" w:rsidRDefault="00B45FAE"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r>
              <w:rPr>
                <w:rFonts w:ascii="Trebuchet MS" w:hAnsi="Trebuchet MS"/>
                <w:b/>
                <w:szCs w:val="18"/>
              </w:rPr>
              <w:t>Profit</w:t>
            </w:r>
            <w:r w:rsidR="000D5A86" w:rsidRPr="000D5A86">
              <w:rPr>
                <w:rFonts w:ascii="Trebuchet MS" w:hAnsi="Trebuchet MS"/>
                <w:b/>
                <w:szCs w:val="18"/>
              </w:rPr>
              <w:t xml:space="preserve"> </w:t>
            </w:r>
            <w:r w:rsidR="008F38F1">
              <w:rPr>
                <w:rFonts w:ascii="Trebuchet MS" w:hAnsi="Trebuchet MS"/>
                <w:b/>
                <w:szCs w:val="18"/>
              </w:rPr>
              <w:t>before income tax</w:t>
            </w:r>
          </w:p>
        </w:tc>
        <w:tc>
          <w:tcPr>
            <w:tcW w:w="850" w:type="dxa"/>
            <w:tcBorders>
              <w:top w:val="single" w:sz="4" w:space="0" w:color="auto"/>
              <w:left w:val="nil"/>
              <w:right w:val="nil"/>
            </w:tcBorders>
            <w:vAlign w:val="bottom"/>
          </w:tcPr>
          <w:p w14:paraId="25855B99"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lang w:val="ru-RU"/>
              </w:rPr>
            </w:pPr>
          </w:p>
        </w:tc>
        <w:tc>
          <w:tcPr>
            <w:tcW w:w="1701" w:type="dxa"/>
            <w:tcBorders>
              <w:top w:val="single" w:sz="4" w:space="0" w:color="auto"/>
              <w:left w:val="nil"/>
              <w:right w:val="nil"/>
            </w:tcBorders>
            <w:shd w:val="clear" w:color="auto" w:fill="auto"/>
            <w:vAlign w:val="bottom"/>
          </w:tcPr>
          <w:p w14:paraId="0817CC76" w14:textId="408CC37A" w:rsidR="000D5A86" w:rsidRPr="004D7FF6" w:rsidRDefault="004D7FF6" w:rsidP="00DC7046">
            <w:pPr>
              <w:tabs>
                <w:tab w:val="decimal" w:pos="1418"/>
              </w:tabs>
              <w:contextualSpacing/>
              <w:rPr>
                <w:rFonts w:cs="Arial"/>
                <w:b/>
                <w:sz w:val="18"/>
                <w:szCs w:val="18"/>
              </w:rPr>
            </w:pPr>
            <w:r>
              <w:rPr>
                <w:rFonts w:cs="Arial"/>
                <w:b/>
                <w:sz w:val="18"/>
                <w:szCs w:val="18"/>
              </w:rPr>
              <w:t>1,831,475</w:t>
            </w:r>
          </w:p>
        </w:tc>
        <w:tc>
          <w:tcPr>
            <w:tcW w:w="1701" w:type="dxa"/>
            <w:tcBorders>
              <w:top w:val="single" w:sz="4" w:space="0" w:color="auto"/>
              <w:left w:val="nil"/>
              <w:right w:val="nil"/>
            </w:tcBorders>
            <w:shd w:val="clear" w:color="auto" w:fill="auto"/>
            <w:vAlign w:val="bottom"/>
          </w:tcPr>
          <w:p w14:paraId="140B701C" w14:textId="4185A130" w:rsidR="000D5A86" w:rsidRPr="004D7FF6" w:rsidRDefault="007F7170" w:rsidP="00DC7046">
            <w:pPr>
              <w:tabs>
                <w:tab w:val="decimal" w:pos="1418"/>
              </w:tabs>
              <w:contextualSpacing/>
              <w:rPr>
                <w:rFonts w:cs="Arial"/>
                <w:sz w:val="18"/>
                <w:szCs w:val="18"/>
              </w:rPr>
            </w:pPr>
            <w:r>
              <w:rPr>
                <w:rFonts w:cs="Arial"/>
                <w:sz w:val="18"/>
                <w:szCs w:val="18"/>
              </w:rPr>
              <w:t>2,804,317</w:t>
            </w:r>
          </w:p>
        </w:tc>
      </w:tr>
      <w:tr w:rsidR="000D5A86" w:rsidRPr="000D5A86" w14:paraId="438ED789" w14:textId="77777777" w:rsidTr="00B45FAE">
        <w:trPr>
          <w:trHeight w:val="313"/>
          <w:jc w:val="center"/>
        </w:trPr>
        <w:tc>
          <w:tcPr>
            <w:tcW w:w="5245" w:type="dxa"/>
            <w:tcBorders>
              <w:left w:val="nil"/>
              <w:bottom w:val="single" w:sz="4" w:space="0" w:color="auto"/>
              <w:right w:val="nil"/>
            </w:tcBorders>
            <w:vAlign w:val="bottom"/>
          </w:tcPr>
          <w:p w14:paraId="2DD2959A" w14:textId="50D4B20B" w:rsidR="000D5A86" w:rsidRPr="000D5A86"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color w:val="000000"/>
                <w:szCs w:val="18"/>
              </w:rPr>
            </w:pPr>
            <w:r>
              <w:rPr>
                <w:rFonts w:ascii="Trebuchet MS" w:hAnsi="Trebuchet MS"/>
                <w:color w:val="000000"/>
                <w:szCs w:val="18"/>
              </w:rPr>
              <w:t>Income tax expenses</w:t>
            </w:r>
          </w:p>
        </w:tc>
        <w:tc>
          <w:tcPr>
            <w:tcW w:w="850" w:type="dxa"/>
            <w:tcBorders>
              <w:left w:val="nil"/>
              <w:bottom w:val="single" w:sz="4" w:space="0" w:color="auto"/>
              <w:right w:val="nil"/>
            </w:tcBorders>
            <w:vAlign w:val="bottom"/>
          </w:tcPr>
          <w:p w14:paraId="02C20413" w14:textId="228C46A0"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lang w:val="en-US"/>
              </w:rPr>
            </w:pPr>
            <w:r>
              <w:rPr>
                <w:rFonts w:ascii="Trebuchet MS" w:hAnsi="Trebuchet MS" w:cs="Arial"/>
                <w:b/>
                <w:bCs/>
                <w:szCs w:val="18"/>
                <w:lang w:val="en-US"/>
              </w:rPr>
              <w:t>15</w:t>
            </w:r>
          </w:p>
        </w:tc>
        <w:tc>
          <w:tcPr>
            <w:tcW w:w="1701" w:type="dxa"/>
            <w:tcBorders>
              <w:left w:val="nil"/>
              <w:bottom w:val="single" w:sz="4" w:space="0" w:color="auto"/>
              <w:right w:val="nil"/>
            </w:tcBorders>
            <w:shd w:val="clear" w:color="auto" w:fill="auto"/>
            <w:vAlign w:val="bottom"/>
          </w:tcPr>
          <w:p w14:paraId="6822F92F" w14:textId="3055F63A" w:rsidR="000D5A86" w:rsidRPr="004D7FF6" w:rsidRDefault="004D7FF6" w:rsidP="00DC7046">
            <w:pPr>
              <w:tabs>
                <w:tab w:val="decimal" w:pos="1418"/>
              </w:tabs>
              <w:contextualSpacing/>
              <w:rPr>
                <w:rFonts w:cs="Arial"/>
                <w:b/>
                <w:sz w:val="18"/>
                <w:szCs w:val="18"/>
              </w:rPr>
            </w:pPr>
            <w:r>
              <w:rPr>
                <w:rFonts w:cs="Arial"/>
                <w:b/>
                <w:sz w:val="18"/>
                <w:szCs w:val="18"/>
              </w:rPr>
              <w:t>(376,525)</w:t>
            </w:r>
          </w:p>
        </w:tc>
        <w:tc>
          <w:tcPr>
            <w:tcW w:w="1701" w:type="dxa"/>
            <w:tcBorders>
              <w:left w:val="nil"/>
              <w:bottom w:val="single" w:sz="4" w:space="0" w:color="auto"/>
              <w:right w:val="nil"/>
            </w:tcBorders>
            <w:shd w:val="clear" w:color="auto" w:fill="auto"/>
            <w:vAlign w:val="bottom"/>
          </w:tcPr>
          <w:p w14:paraId="20BE6754" w14:textId="4B274985" w:rsidR="000D5A86" w:rsidRPr="004D7FF6" w:rsidRDefault="00B45FAE" w:rsidP="00DC7046">
            <w:pPr>
              <w:tabs>
                <w:tab w:val="decimal" w:pos="1418"/>
              </w:tabs>
              <w:contextualSpacing/>
              <w:rPr>
                <w:rFonts w:cs="Arial"/>
                <w:sz w:val="18"/>
                <w:szCs w:val="18"/>
              </w:rPr>
            </w:pPr>
            <w:r w:rsidRPr="004D7FF6">
              <w:rPr>
                <w:rFonts w:cs="Arial"/>
                <w:sz w:val="18"/>
                <w:szCs w:val="18"/>
              </w:rPr>
              <w:t>(</w:t>
            </w:r>
            <w:r w:rsidR="002D3E99" w:rsidRPr="004D7FF6">
              <w:rPr>
                <w:rFonts w:cs="Arial"/>
                <w:sz w:val="18"/>
                <w:szCs w:val="18"/>
              </w:rPr>
              <w:t>56</w:t>
            </w:r>
            <w:r w:rsidR="007F7170">
              <w:rPr>
                <w:rFonts w:cs="Arial"/>
                <w:sz w:val="18"/>
                <w:szCs w:val="18"/>
              </w:rPr>
              <w:t>3</w:t>
            </w:r>
            <w:r w:rsidR="004D7FF6">
              <w:rPr>
                <w:rFonts w:cs="Arial"/>
                <w:sz w:val="18"/>
                <w:szCs w:val="18"/>
              </w:rPr>
              <w:t>,</w:t>
            </w:r>
            <w:r w:rsidR="007F7170">
              <w:rPr>
                <w:rFonts w:cs="Arial"/>
                <w:sz w:val="18"/>
                <w:szCs w:val="18"/>
              </w:rPr>
              <w:t>627</w:t>
            </w:r>
            <w:r w:rsidRPr="004D7FF6">
              <w:rPr>
                <w:rFonts w:cs="Arial"/>
                <w:sz w:val="18"/>
                <w:szCs w:val="18"/>
              </w:rPr>
              <w:t>)</w:t>
            </w:r>
          </w:p>
        </w:tc>
      </w:tr>
      <w:tr w:rsidR="000D5A86" w:rsidRPr="00B45FAE" w14:paraId="182E8806" w14:textId="77777777" w:rsidTr="00B45FAE">
        <w:trPr>
          <w:trHeight w:val="278"/>
          <w:jc w:val="center"/>
        </w:trPr>
        <w:tc>
          <w:tcPr>
            <w:tcW w:w="5245" w:type="dxa"/>
            <w:tcBorders>
              <w:top w:val="single" w:sz="4" w:space="0" w:color="auto"/>
              <w:left w:val="nil"/>
              <w:bottom w:val="double" w:sz="4" w:space="0" w:color="auto"/>
              <w:right w:val="nil"/>
            </w:tcBorders>
            <w:vAlign w:val="bottom"/>
          </w:tcPr>
          <w:p w14:paraId="59EF6A53" w14:textId="5C231680" w:rsidR="000D5A86" w:rsidRPr="00B45FAE" w:rsidRDefault="00B45FAE"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color w:val="000000"/>
                <w:szCs w:val="18"/>
                <w:lang w:val="en-US"/>
              </w:rPr>
            </w:pPr>
            <w:r>
              <w:rPr>
                <w:rFonts w:ascii="Trebuchet MS" w:hAnsi="Trebuchet MS" w:cs="Arial"/>
                <w:b/>
                <w:color w:val="000000"/>
                <w:szCs w:val="18"/>
                <w:lang w:val="en-US"/>
              </w:rPr>
              <w:t>Net Profit for the year</w:t>
            </w:r>
          </w:p>
        </w:tc>
        <w:tc>
          <w:tcPr>
            <w:tcW w:w="850" w:type="dxa"/>
            <w:tcBorders>
              <w:top w:val="single" w:sz="4" w:space="0" w:color="auto"/>
              <w:left w:val="nil"/>
              <w:bottom w:val="double" w:sz="4" w:space="0" w:color="auto"/>
              <w:right w:val="nil"/>
            </w:tcBorders>
            <w:vAlign w:val="bottom"/>
          </w:tcPr>
          <w:p w14:paraId="50CEDDE6"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rPr>
            </w:pPr>
          </w:p>
        </w:tc>
        <w:tc>
          <w:tcPr>
            <w:tcW w:w="1701" w:type="dxa"/>
            <w:tcBorders>
              <w:top w:val="single" w:sz="4" w:space="0" w:color="auto"/>
              <w:left w:val="nil"/>
              <w:bottom w:val="double" w:sz="4" w:space="0" w:color="auto"/>
              <w:right w:val="nil"/>
            </w:tcBorders>
            <w:shd w:val="clear" w:color="auto" w:fill="auto"/>
            <w:vAlign w:val="bottom"/>
          </w:tcPr>
          <w:p w14:paraId="2B23A20A" w14:textId="5FD8AF35" w:rsidR="000D5A86" w:rsidRPr="004D7FF6" w:rsidRDefault="004D7FF6" w:rsidP="00DC7046">
            <w:pPr>
              <w:tabs>
                <w:tab w:val="decimal" w:pos="1418"/>
              </w:tabs>
              <w:contextualSpacing/>
              <w:rPr>
                <w:rFonts w:cs="Arial"/>
                <w:b/>
                <w:sz w:val="18"/>
                <w:szCs w:val="18"/>
              </w:rPr>
            </w:pPr>
            <w:r>
              <w:rPr>
                <w:rFonts w:cs="Arial"/>
                <w:b/>
                <w:sz w:val="18"/>
                <w:szCs w:val="18"/>
              </w:rPr>
              <w:t>1,454,950</w:t>
            </w:r>
          </w:p>
        </w:tc>
        <w:tc>
          <w:tcPr>
            <w:tcW w:w="1701" w:type="dxa"/>
            <w:tcBorders>
              <w:top w:val="single" w:sz="4" w:space="0" w:color="auto"/>
              <w:left w:val="nil"/>
              <w:bottom w:val="double" w:sz="4" w:space="0" w:color="auto"/>
              <w:right w:val="nil"/>
            </w:tcBorders>
            <w:shd w:val="clear" w:color="auto" w:fill="auto"/>
            <w:vAlign w:val="bottom"/>
          </w:tcPr>
          <w:p w14:paraId="110C192D" w14:textId="34319870" w:rsidR="000D5A86" w:rsidRPr="004D7FF6" w:rsidRDefault="002D3E99" w:rsidP="00DC7046">
            <w:pPr>
              <w:tabs>
                <w:tab w:val="decimal" w:pos="1418"/>
              </w:tabs>
              <w:contextualSpacing/>
              <w:rPr>
                <w:rFonts w:cs="Arial"/>
                <w:sz w:val="18"/>
                <w:szCs w:val="18"/>
              </w:rPr>
            </w:pPr>
            <w:r w:rsidRPr="004D7FF6">
              <w:rPr>
                <w:rFonts w:cs="Arial"/>
                <w:sz w:val="18"/>
                <w:szCs w:val="18"/>
              </w:rPr>
              <w:t>2,240,720</w:t>
            </w:r>
          </w:p>
        </w:tc>
      </w:tr>
      <w:tr w:rsidR="000D5A86" w:rsidRPr="000D5A86" w14:paraId="283FE8D9" w14:textId="77777777" w:rsidTr="00B45FAE">
        <w:trPr>
          <w:trHeight w:val="227"/>
          <w:jc w:val="center"/>
        </w:trPr>
        <w:tc>
          <w:tcPr>
            <w:tcW w:w="5245" w:type="dxa"/>
            <w:tcBorders>
              <w:top w:val="double" w:sz="4" w:space="0" w:color="auto"/>
              <w:left w:val="nil"/>
              <w:right w:val="nil"/>
            </w:tcBorders>
            <w:vAlign w:val="bottom"/>
          </w:tcPr>
          <w:p w14:paraId="4C251C41" w14:textId="77777777"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color w:val="000000"/>
                <w:szCs w:val="18"/>
              </w:rPr>
            </w:pPr>
            <w:r w:rsidRPr="000D5A86">
              <w:rPr>
                <w:rFonts w:ascii="Trebuchet MS" w:hAnsi="Trebuchet MS"/>
                <w:b/>
                <w:color w:val="000000"/>
                <w:szCs w:val="18"/>
              </w:rPr>
              <w:t xml:space="preserve"> </w:t>
            </w:r>
          </w:p>
        </w:tc>
        <w:tc>
          <w:tcPr>
            <w:tcW w:w="850" w:type="dxa"/>
            <w:tcBorders>
              <w:top w:val="double" w:sz="4" w:space="0" w:color="auto"/>
              <w:left w:val="nil"/>
              <w:right w:val="nil"/>
            </w:tcBorders>
            <w:vAlign w:val="bottom"/>
          </w:tcPr>
          <w:p w14:paraId="46B9CDCB"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rPr>
            </w:pPr>
          </w:p>
        </w:tc>
        <w:tc>
          <w:tcPr>
            <w:tcW w:w="1701" w:type="dxa"/>
            <w:tcBorders>
              <w:top w:val="double" w:sz="4" w:space="0" w:color="auto"/>
              <w:left w:val="nil"/>
              <w:right w:val="nil"/>
            </w:tcBorders>
            <w:shd w:val="clear" w:color="auto" w:fill="auto"/>
            <w:vAlign w:val="bottom"/>
          </w:tcPr>
          <w:p w14:paraId="6118B8F7" w14:textId="77777777" w:rsidR="000D5A86" w:rsidRPr="004D7FF6" w:rsidRDefault="000D5A86" w:rsidP="00DC7046">
            <w:pPr>
              <w:tabs>
                <w:tab w:val="decimal" w:pos="1418"/>
              </w:tabs>
              <w:contextualSpacing/>
              <w:rPr>
                <w:rFonts w:cs="Arial"/>
                <w:b/>
                <w:sz w:val="18"/>
                <w:szCs w:val="18"/>
                <w:lang w:val="en-US"/>
              </w:rPr>
            </w:pPr>
          </w:p>
        </w:tc>
        <w:tc>
          <w:tcPr>
            <w:tcW w:w="1701" w:type="dxa"/>
            <w:tcBorders>
              <w:top w:val="double" w:sz="4" w:space="0" w:color="auto"/>
              <w:left w:val="nil"/>
              <w:right w:val="nil"/>
            </w:tcBorders>
            <w:vAlign w:val="bottom"/>
          </w:tcPr>
          <w:p w14:paraId="0C7CBBDE" w14:textId="77777777" w:rsidR="000D5A86" w:rsidRPr="004D7FF6" w:rsidRDefault="000D5A86" w:rsidP="00DC7046">
            <w:pPr>
              <w:tabs>
                <w:tab w:val="decimal" w:pos="1418"/>
              </w:tabs>
              <w:contextualSpacing/>
              <w:rPr>
                <w:rFonts w:cs="Arial"/>
                <w:sz w:val="18"/>
                <w:szCs w:val="18"/>
                <w:highlight w:val="yellow"/>
                <w:lang w:val="en-US"/>
              </w:rPr>
            </w:pPr>
          </w:p>
        </w:tc>
      </w:tr>
      <w:tr w:rsidR="000D5A86" w:rsidRPr="000D5A86" w14:paraId="4730707A" w14:textId="77777777" w:rsidTr="000D5A86">
        <w:trPr>
          <w:trHeight w:val="227"/>
          <w:jc w:val="center"/>
        </w:trPr>
        <w:tc>
          <w:tcPr>
            <w:tcW w:w="5245" w:type="dxa"/>
            <w:vAlign w:val="bottom"/>
          </w:tcPr>
          <w:p w14:paraId="36D4A553" w14:textId="77777777" w:rsidR="000D5A86" w:rsidRPr="002D3E99"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Cs/>
                <w:color w:val="000000"/>
                <w:szCs w:val="18"/>
              </w:rPr>
            </w:pPr>
            <w:r w:rsidRPr="002D3E99">
              <w:rPr>
                <w:rFonts w:ascii="Trebuchet MS" w:hAnsi="Trebuchet MS"/>
                <w:bCs/>
                <w:color w:val="000000"/>
                <w:szCs w:val="18"/>
              </w:rPr>
              <w:t xml:space="preserve">Other comprehensive income/(loss) </w:t>
            </w:r>
          </w:p>
        </w:tc>
        <w:tc>
          <w:tcPr>
            <w:tcW w:w="850" w:type="dxa"/>
            <w:vAlign w:val="bottom"/>
          </w:tcPr>
          <w:p w14:paraId="16D7287D"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lang w:val="ru-RU"/>
              </w:rPr>
            </w:pPr>
          </w:p>
        </w:tc>
        <w:tc>
          <w:tcPr>
            <w:tcW w:w="1701" w:type="dxa"/>
            <w:shd w:val="clear" w:color="auto" w:fill="auto"/>
            <w:vAlign w:val="bottom"/>
          </w:tcPr>
          <w:p w14:paraId="5738F3E3" w14:textId="16C67D7E" w:rsidR="000D5A86" w:rsidRPr="004D7FF6" w:rsidRDefault="004D7FF6" w:rsidP="00DC7046">
            <w:pPr>
              <w:tabs>
                <w:tab w:val="decimal" w:pos="1418"/>
              </w:tabs>
              <w:contextualSpacing/>
              <w:rPr>
                <w:rFonts w:cs="Arial"/>
                <w:bCs/>
                <w:sz w:val="18"/>
                <w:szCs w:val="18"/>
                <w:lang w:val="en-US"/>
              </w:rPr>
            </w:pPr>
            <w:r>
              <w:rPr>
                <w:rFonts w:cs="Arial"/>
                <w:bCs/>
                <w:sz w:val="18"/>
                <w:szCs w:val="18"/>
                <w:lang w:val="en-US"/>
              </w:rPr>
              <w:t>-</w:t>
            </w:r>
          </w:p>
        </w:tc>
        <w:tc>
          <w:tcPr>
            <w:tcW w:w="1701" w:type="dxa"/>
            <w:vAlign w:val="bottom"/>
          </w:tcPr>
          <w:p w14:paraId="3EF1394F" w14:textId="6DB1C817" w:rsidR="000D5A86" w:rsidRPr="004D7FF6" w:rsidRDefault="002D3E99" w:rsidP="00DC7046">
            <w:pPr>
              <w:tabs>
                <w:tab w:val="decimal" w:pos="1418"/>
              </w:tabs>
              <w:contextualSpacing/>
              <w:rPr>
                <w:rFonts w:cs="Arial"/>
                <w:sz w:val="18"/>
                <w:szCs w:val="18"/>
                <w:highlight w:val="yellow"/>
                <w:lang w:val="en-US"/>
              </w:rPr>
            </w:pPr>
            <w:r w:rsidRPr="004D7FF6">
              <w:rPr>
                <w:rFonts w:cs="Arial"/>
                <w:sz w:val="18"/>
                <w:szCs w:val="18"/>
                <w:lang w:val="en-US"/>
              </w:rPr>
              <w:t>-</w:t>
            </w:r>
          </w:p>
        </w:tc>
      </w:tr>
      <w:tr w:rsidR="000D5A86" w:rsidRPr="00B45FAE" w14:paraId="070ECB05" w14:textId="77777777" w:rsidTr="000F0BA8">
        <w:trPr>
          <w:trHeight w:val="371"/>
          <w:jc w:val="center"/>
        </w:trPr>
        <w:tc>
          <w:tcPr>
            <w:tcW w:w="5245" w:type="dxa"/>
            <w:tcBorders>
              <w:top w:val="single" w:sz="4" w:space="0" w:color="auto"/>
              <w:left w:val="nil"/>
              <w:bottom w:val="double" w:sz="4" w:space="0" w:color="auto"/>
              <w:right w:val="nil"/>
            </w:tcBorders>
            <w:vAlign w:val="bottom"/>
          </w:tcPr>
          <w:p w14:paraId="389B7BEE" w14:textId="45D2F432" w:rsidR="000D5A86" w:rsidRPr="000D5A86"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bookmarkStart w:id="6" w:name="OLE_LINK35"/>
            <w:bookmarkStart w:id="7" w:name="OLE_LINK36"/>
            <w:r w:rsidRPr="000D5A86">
              <w:rPr>
                <w:rFonts w:ascii="Trebuchet MS" w:hAnsi="Trebuchet MS"/>
                <w:b/>
                <w:szCs w:val="18"/>
              </w:rPr>
              <w:t>Total comprehensive income/(loss), net of tax</w:t>
            </w:r>
            <w:bookmarkEnd w:id="6"/>
            <w:bookmarkEnd w:id="7"/>
          </w:p>
        </w:tc>
        <w:tc>
          <w:tcPr>
            <w:tcW w:w="850" w:type="dxa"/>
            <w:tcBorders>
              <w:top w:val="single" w:sz="4" w:space="0" w:color="auto"/>
              <w:left w:val="nil"/>
              <w:bottom w:val="double" w:sz="4" w:space="0" w:color="auto"/>
              <w:right w:val="nil"/>
            </w:tcBorders>
            <w:vAlign w:val="bottom"/>
          </w:tcPr>
          <w:p w14:paraId="3FEE3BC4"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lang w:val="en-US"/>
              </w:rPr>
            </w:pPr>
          </w:p>
        </w:tc>
        <w:tc>
          <w:tcPr>
            <w:tcW w:w="1701" w:type="dxa"/>
            <w:tcBorders>
              <w:top w:val="single" w:sz="4" w:space="0" w:color="auto"/>
              <w:left w:val="nil"/>
              <w:bottom w:val="double" w:sz="4" w:space="0" w:color="auto"/>
              <w:right w:val="nil"/>
            </w:tcBorders>
            <w:shd w:val="clear" w:color="auto" w:fill="auto"/>
            <w:vAlign w:val="bottom"/>
          </w:tcPr>
          <w:p w14:paraId="3177B408" w14:textId="3DEC81CB" w:rsidR="000D5A86" w:rsidRPr="004D7FF6" w:rsidRDefault="004D7FF6" w:rsidP="00DC7046">
            <w:pPr>
              <w:tabs>
                <w:tab w:val="decimal" w:pos="1418"/>
              </w:tabs>
              <w:contextualSpacing/>
              <w:rPr>
                <w:rFonts w:cs="Arial"/>
                <w:b/>
                <w:sz w:val="18"/>
                <w:szCs w:val="18"/>
              </w:rPr>
            </w:pPr>
            <w:r>
              <w:rPr>
                <w:rFonts w:cs="Arial"/>
                <w:b/>
                <w:sz w:val="18"/>
                <w:szCs w:val="18"/>
              </w:rPr>
              <w:t>1,454,950</w:t>
            </w:r>
          </w:p>
        </w:tc>
        <w:tc>
          <w:tcPr>
            <w:tcW w:w="1701" w:type="dxa"/>
            <w:tcBorders>
              <w:top w:val="single" w:sz="4" w:space="0" w:color="auto"/>
              <w:left w:val="nil"/>
              <w:bottom w:val="double" w:sz="4" w:space="0" w:color="auto"/>
              <w:right w:val="nil"/>
            </w:tcBorders>
            <w:vAlign w:val="bottom"/>
          </w:tcPr>
          <w:p w14:paraId="58426AFA" w14:textId="49DE2D3E" w:rsidR="000D5A86" w:rsidRPr="004D7FF6" w:rsidRDefault="00B45FAE" w:rsidP="00DC7046">
            <w:pPr>
              <w:tabs>
                <w:tab w:val="decimal" w:pos="1418"/>
              </w:tabs>
              <w:contextualSpacing/>
              <w:rPr>
                <w:rFonts w:cs="Arial"/>
                <w:sz w:val="18"/>
                <w:szCs w:val="18"/>
              </w:rPr>
            </w:pPr>
            <w:r w:rsidRPr="004D7FF6">
              <w:rPr>
                <w:rFonts w:cs="Arial"/>
                <w:sz w:val="18"/>
                <w:szCs w:val="18"/>
              </w:rPr>
              <w:t>2,240,720</w:t>
            </w:r>
          </w:p>
        </w:tc>
      </w:tr>
      <w:tr w:rsidR="000D5A86" w:rsidRPr="000D5A86" w14:paraId="07E86F02" w14:textId="77777777" w:rsidTr="00B45FAE">
        <w:trPr>
          <w:trHeight w:val="227"/>
          <w:jc w:val="center"/>
        </w:trPr>
        <w:tc>
          <w:tcPr>
            <w:tcW w:w="5245" w:type="dxa"/>
            <w:tcBorders>
              <w:top w:val="double" w:sz="4" w:space="0" w:color="auto"/>
              <w:left w:val="nil"/>
              <w:right w:val="nil"/>
            </w:tcBorders>
            <w:vAlign w:val="bottom"/>
          </w:tcPr>
          <w:p w14:paraId="5D8F3C42" w14:textId="77777777" w:rsidR="000D5A86" w:rsidRPr="000D5A86" w:rsidDel="00C64609"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r w:rsidRPr="000D5A86">
              <w:rPr>
                <w:rFonts w:ascii="Trebuchet MS" w:hAnsi="Trebuchet MS"/>
                <w:b/>
                <w:szCs w:val="18"/>
              </w:rPr>
              <w:t xml:space="preserve"> </w:t>
            </w:r>
          </w:p>
        </w:tc>
        <w:tc>
          <w:tcPr>
            <w:tcW w:w="850" w:type="dxa"/>
            <w:tcBorders>
              <w:top w:val="double" w:sz="4" w:space="0" w:color="auto"/>
              <w:left w:val="nil"/>
              <w:right w:val="nil"/>
            </w:tcBorders>
            <w:vAlign w:val="bottom"/>
          </w:tcPr>
          <w:p w14:paraId="5B0787B7" w14:textId="77777777" w:rsidR="000D5A86" w:rsidRPr="008F38F1" w:rsidRDefault="000D5A8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rPr>
            </w:pPr>
          </w:p>
        </w:tc>
        <w:tc>
          <w:tcPr>
            <w:tcW w:w="1701" w:type="dxa"/>
            <w:tcBorders>
              <w:top w:val="double" w:sz="4" w:space="0" w:color="auto"/>
              <w:left w:val="nil"/>
              <w:right w:val="nil"/>
            </w:tcBorders>
            <w:shd w:val="clear" w:color="auto" w:fill="auto"/>
            <w:vAlign w:val="bottom"/>
          </w:tcPr>
          <w:p w14:paraId="4AEE6C38" w14:textId="77777777" w:rsidR="000D5A86" w:rsidRPr="004D7FF6" w:rsidRDefault="000D5A86" w:rsidP="00DC7046">
            <w:pPr>
              <w:tabs>
                <w:tab w:val="decimal" w:pos="1418"/>
              </w:tabs>
              <w:contextualSpacing/>
              <w:rPr>
                <w:rFonts w:cs="Arial"/>
                <w:b/>
                <w:sz w:val="18"/>
                <w:szCs w:val="18"/>
              </w:rPr>
            </w:pPr>
          </w:p>
        </w:tc>
        <w:tc>
          <w:tcPr>
            <w:tcW w:w="1701" w:type="dxa"/>
            <w:tcBorders>
              <w:top w:val="double" w:sz="4" w:space="0" w:color="auto"/>
              <w:left w:val="nil"/>
              <w:right w:val="nil"/>
            </w:tcBorders>
            <w:vAlign w:val="bottom"/>
          </w:tcPr>
          <w:p w14:paraId="37BA7A09" w14:textId="77777777" w:rsidR="000D5A86" w:rsidRPr="00B45FAE" w:rsidRDefault="000D5A86" w:rsidP="00DC7046">
            <w:pPr>
              <w:tabs>
                <w:tab w:val="decimal" w:pos="1418"/>
              </w:tabs>
              <w:contextualSpacing/>
              <w:rPr>
                <w:rFonts w:cs="Arial"/>
                <w:b/>
                <w:sz w:val="18"/>
                <w:szCs w:val="18"/>
                <w:highlight w:val="yellow"/>
              </w:rPr>
            </w:pPr>
          </w:p>
        </w:tc>
      </w:tr>
      <w:tr w:rsidR="000D5A86" w:rsidRPr="000D5A86" w14:paraId="102C6122" w14:textId="77777777" w:rsidTr="000D5A86">
        <w:trPr>
          <w:trHeight w:val="227"/>
          <w:jc w:val="center"/>
        </w:trPr>
        <w:tc>
          <w:tcPr>
            <w:tcW w:w="5245" w:type="dxa"/>
            <w:tcBorders>
              <w:left w:val="nil"/>
              <w:bottom w:val="single" w:sz="4" w:space="0" w:color="auto"/>
              <w:right w:val="nil"/>
            </w:tcBorders>
            <w:vAlign w:val="bottom"/>
          </w:tcPr>
          <w:p w14:paraId="15818FE6" w14:textId="38D4FCEC" w:rsidR="000D5A86" w:rsidRPr="000D5A86" w:rsidRDefault="00B45FAE"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djustRightInd/>
              <w:spacing w:line="240" w:lineRule="auto"/>
              <w:ind w:left="5" w:right="-108" w:hanging="113"/>
              <w:jc w:val="left"/>
              <w:textAlignment w:val="auto"/>
              <w:rPr>
                <w:rFonts w:ascii="Trebuchet MS" w:hAnsi="Trebuchet MS" w:cs="Arial"/>
                <w:b/>
                <w:szCs w:val="18"/>
              </w:rPr>
            </w:pPr>
            <w:bookmarkStart w:id="8" w:name="_Hlk514421807"/>
            <w:r>
              <w:rPr>
                <w:rFonts w:ascii="Trebuchet MS" w:hAnsi="Trebuchet MS"/>
                <w:color w:val="000000"/>
                <w:szCs w:val="18"/>
              </w:rPr>
              <w:t>Earnings per share (basic and d</w:t>
            </w:r>
            <w:r w:rsidR="000F0BA8">
              <w:rPr>
                <w:rFonts w:ascii="Trebuchet MS" w:hAnsi="Trebuchet MS"/>
                <w:color w:val="000000"/>
                <w:szCs w:val="18"/>
              </w:rPr>
              <w:t>i</w:t>
            </w:r>
            <w:r>
              <w:rPr>
                <w:rFonts w:ascii="Trebuchet MS" w:hAnsi="Trebuchet MS"/>
                <w:color w:val="000000"/>
                <w:szCs w:val="18"/>
              </w:rPr>
              <w:t>luted)</w:t>
            </w:r>
          </w:p>
        </w:tc>
        <w:tc>
          <w:tcPr>
            <w:tcW w:w="850" w:type="dxa"/>
            <w:tcBorders>
              <w:left w:val="nil"/>
              <w:bottom w:val="single" w:sz="4" w:space="0" w:color="auto"/>
              <w:right w:val="nil"/>
            </w:tcBorders>
            <w:vAlign w:val="bottom"/>
          </w:tcPr>
          <w:p w14:paraId="267A17E3" w14:textId="09BE1455" w:rsidR="000D5A86" w:rsidRPr="008F38F1" w:rsidRDefault="008F38F1"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firstLine="0"/>
              <w:contextualSpacing/>
              <w:jc w:val="center"/>
              <w:rPr>
                <w:rFonts w:ascii="Trebuchet MS" w:hAnsi="Trebuchet MS" w:cs="Arial"/>
                <w:b/>
                <w:bCs/>
                <w:szCs w:val="18"/>
              </w:rPr>
            </w:pPr>
            <w:r w:rsidRPr="008F38F1">
              <w:rPr>
                <w:rFonts w:ascii="Trebuchet MS" w:hAnsi="Trebuchet MS" w:cs="Arial"/>
                <w:b/>
                <w:bCs/>
                <w:szCs w:val="18"/>
              </w:rPr>
              <w:t>22</w:t>
            </w:r>
          </w:p>
        </w:tc>
        <w:tc>
          <w:tcPr>
            <w:tcW w:w="1701" w:type="dxa"/>
            <w:tcBorders>
              <w:left w:val="nil"/>
              <w:bottom w:val="single" w:sz="4" w:space="0" w:color="auto"/>
              <w:right w:val="nil"/>
            </w:tcBorders>
            <w:shd w:val="clear" w:color="auto" w:fill="auto"/>
            <w:vAlign w:val="bottom"/>
          </w:tcPr>
          <w:p w14:paraId="34F3352F" w14:textId="135B42A4" w:rsidR="000D5A86" w:rsidRPr="004D7FF6" w:rsidRDefault="004D7FF6" w:rsidP="00DC7046">
            <w:pPr>
              <w:tabs>
                <w:tab w:val="decimal" w:pos="1418"/>
              </w:tabs>
              <w:contextualSpacing/>
              <w:rPr>
                <w:rFonts w:cs="Arial"/>
                <w:b/>
                <w:sz w:val="18"/>
                <w:szCs w:val="18"/>
              </w:rPr>
            </w:pPr>
            <w:r>
              <w:rPr>
                <w:rFonts w:cs="Arial"/>
                <w:b/>
                <w:sz w:val="18"/>
                <w:szCs w:val="18"/>
              </w:rPr>
              <w:t>187.74</w:t>
            </w:r>
          </w:p>
        </w:tc>
        <w:tc>
          <w:tcPr>
            <w:tcW w:w="1701" w:type="dxa"/>
            <w:tcBorders>
              <w:left w:val="nil"/>
              <w:bottom w:val="single" w:sz="4" w:space="0" w:color="auto"/>
              <w:right w:val="nil"/>
            </w:tcBorders>
            <w:vAlign w:val="bottom"/>
          </w:tcPr>
          <w:p w14:paraId="714C1E1E" w14:textId="2016AA44" w:rsidR="000D5A86" w:rsidRPr="00B45FAE" w:rsidRDefault="00B45FAE" w:rsidP="002D3E99">
            <w:pPr>
              <w:tabs>
                <w:tab w:val="decimal" w:pos="1167"/>
              </w:tabs>
              <w:contextualSpacing/>
              <w:rPr>
                <w:rFonts w:cs="Arial"/>
                <w:bCs/>
                <w:sz w:val="18"/>
                <w:szCs w:val="18"/>
              </w:rPr>
            </w:pPr>
            <w:r w:rsidRPr="00B45FAE">
              <w:rPr>
                <w:rFonts w:cs="Arial"/>
                <w:bCs/>
                <w:sz w:val="18"/>
                <w:szCs w:val="18"/>
              </w:rPr>
              <w:t>289.78</w:t>
            </w:r>
          </w:p>
        </w:tc>
      </w:tr>
      <w:bookmarkEnd w:id="5"/>
      <w:bookmarkEnd w:id="8"/>
    </w:tbl>
    <w:p w14:paraId="7B42BE1E" w14:textId="77777777" w:rsidR="000D5A86" w:rsidRDefault="000D5A86" w:rsidP="000D5A86">
      <w:pPr>
        <w:rPr>
          <w:rFonts w:ascii="Times New Roman" w:hAnsi="Times New Roman" w:cs="Times New Roman"/>
          <w:sz w:val="22"/>
          <w:lang w:val="en-US"/>
        </w:rPr>
      </w:pPr>
    </w:p>
    <w:p w14:paraId="566F2529" w14:textId="77777777" w:rsidR="000D5A86" w:rsidRDefault="000D5A86" w:rsidP="000D5A86">
      <w:pPr>
        <w:rPr>
          <w:rFonts w:ascii="Times New Roman" w:hAnsi="Times New Roman" w:cs="Times New Roman"/>
          <w:sz w:val="22"/>
          <w:lang w:val="en-US"/>
        </w:rPr>
      </w:pPr>
    </w:p>
    <w:p w14:paraId="7C82919D" w14:textId="77777777" w:rsidR="000D5A86" w:rsidRDefault="000D5A86" w:rsidP="000D5A86">
      <w:pPr>
        <w:rPr>
          <w:rFonts w:ascii="Times New Roman" w:hAnsi="Times New Roman" w:cs="Times New Roman"/>
          <w:sz w:val="22"/>
          <w:lang w:val="en-US"/>
        </w:rPr>
      </w:pPr>
    </w:p>
    <w:p w14:paraId="3AF2CE87" w14:textId="77777777" w:rsidR="000F0BA8" w:rsidRDefault="000F0BA8" w:rsidP="000D5A86">
      <w:pPr>
        <w:rPr>
          <w:rFonts w:ascii="Times New Roman" w:hAnsi="Times New Roman" w:cs="Times New Roman"/>
          <w:sz w:val="22"/>
          <w:lang w:val="en-US"/>
        </w:rPr>
      </w:pPr>
    </w:p>
    <w:p w14:paraId="1A43E487" w14:textId="77777777" w:rsidR="000F0BA8" w:rsidRDefault="000F0BA8" w:rsidP="000D5A86">
      <w:pPr>
        <w:rPr>
          <w:rFonts w:ascii="Times New Roman" w:hAnsi="Times New Roman" w:cs="Times New Roman"/>
          <w:sz w:val="22"/>
          <w:lang w:val="en-US"/>
        </w:rPr>
      </w:pPr>
    </w:p>
    <w:p w14:paraId="374BF49D" w14:textId="77777777" w:rsidR="000F0BA8" w:rsidRDefault="000F0BA8" w:rsidP="000D5A86">
      <w:pPr>
        <w:rPr>
          <w:rFonts w:ascii="Times New Roman" w:hAnsi="Times New Roman" w:cs="Times New Roman"/>
          <w:sz w:val="22"/>
          <w:lang w:val="en-US"/>
        </w:rPr>
      </w:pPr>
    </w:p>
    <w:p w14:paraId="67187ACC" w14:textId="77777777" w:rsidR="000F0BA8" w:rsidRDefault="000F0BA8" w:rsidP="000D5A86">
      <w:pPr>
        <w:rPr>
          <w:rFonts w:ascii="Times New Roman" w:hAnsi="Times New Roman" w:cs="Times New Roman"/>
          <w:sz w:val="22"/>
          <w:lang w:val="en-US"/>
        </w:rPr>
      </w:pPr>
    </w:p>
    <w:tbl>
      <w:tblPr>
        <w:tblW w:w="9214" w:type="dxa"/>
        <w:tblLook w:val="04A0" w:firstRow="1" w:lastRow="0" w:firstColumn="1" w:lastColumn="0" w:noHBand="0" w:noVBand="1"/>
      </w:tblPr>
      <w:tblGrid>
        <w:gridCol w:w="3320"/>
        <w:gridCol w:w="2980"/>
        <w:gridCol w:w="2914"/>
      </w:tblGrid>
      <w:tr w:rsidR="000F0BA8" w:rsidRPr="00DD7EB8" w14:paraId="1DCFB45F" w14:textId="77777777" w:rsidTr="00DC7046">
        <w:trPr>
          <w:trHeight w:val="288"/>
        </w:trPr>
        <w:tc>
          <w:tcPr>
            <w:tcW w:w="3320" w:type="dxa"/>
            <w:tcBorders>
              <w:top w:val="nil"/>
              <w:left w:val="nil"/>
              <w:bottom w:val="single" w:sz="4" w:space="0" w:color="auto"/>
              <w:right w:val="nil"/>
            </w:tcBorders>
            <w:shd w:val="clear" w:color="auto" w:fill="auto"/>
            <w:noWrap/>
            <w:vAlign w:val="bottom"/>
            <w:hideMark/>
          </w:tcPr>
          <w:p w14:paraId="312BC1FF" w14:textId="77777777" w:rsidR="000F0BA8" w:rsidRPr="00DD7EB8" w:rsidRDefault="000F0BA8" w:rsidP="00DC7046">
            <w:pPr>
              <w:rPr>
                <w:rFonts w:eastAsia="Times New Roman" w:cs="Times New Roman"/>
                <w:color w:val="000000"/>
                <w:szCs w:val="20"/>
                <w:lang w:eastAsia="en-GB"/>
              </w:rPr>
            </w:pPr>
            <w:r w:rsidRPr="00DD7EB8">
              <w:rPr>
                <w:rFonts w:eastAsia="Times New Roman" w:cs="Times New Roman"/>
                <w:color w:val="000000"/>
                <w:szCs w:val="20"/>
                <w:lang w:eastAsia="en-GB"/>
              </w:rPr>
              <w:t> </w:t>
            </w:r>
          </w:p>
        </w:tc>
        <w:tc>
          <w:tcPr>
            <w:tcW w:w="2980" w:type="dxa"/>
            <w:tcBorders>
              <w:top w:val="nil"/>
              <w:left w:val="nil"/>
              <w:bottom w:val="nil"/>
              <w:right w:val="nil"/>
            </w:tcBorders>
            <w:shd w:val="clear" w:color="auto" w:fill="auto"/>
            <w:noWrap/>
            <w:vAlign w:val="bottom"/>
            <w:hideMark/>
          </w:tcPr>
          <w:p w14:paraId="76BE1DF6" w14:textId="77777777" w:rsidR="000F0BA8" w:rsidRPr="00DD7EB8" w:rsidRDefault="000F0BA8" w:rsidP="00DC7046">
            <w:pPr>
              <w:rPr>
                <w:rFonts w:eastAsia="Times New Roman" w:cs="Times New Roman"/>
                <w:color w:val="000000"/>
                <w:szCs w:val="20"/>
                <w:lang w:eastAsia="en-GB"/>
              </w:rPr>
            </w:pPr>
          </w:p>
        </w:tc>
        <w:tc>
          <w:tcPr>
            <w:tcW w:w="2914" w:type="dxa"/>
            <w:tcBorders>
              <w:top w:val="nil"/>
              <w:left w:val="nil"/>
              <w:bottom w:val="single" w:sz="4" w:space="0" w:color="auto"/>
              <w:right w:val="nil"/>
            </w:tcBorders>
            <w:shd w:val="clear" w:color="auto" w:fill="auto"/>
            <w:noWrap/>
            <w:vAlign w:val="bottom"/>
            <w:hideMark/>
          </w:tcPr>
          <w:p w14:paraId="76906DC2" w14:textId="77777777" w:rsidR="000F0BA8" w:rsidRPr="00DD7EB8" w:rsidRDefault="000F0BA8" w:rsidP="00DC7046">
            <w:pPr>
              <w:rPr>
                <w:rFonts w:eastAsia="Times New Roman" w:cs="Times New Roman"/>
                <w:color w:val="000000"/>
                <w:szCs w:val="20"/>
                <w:lang w:eastAsia="en-GB"/>
              </w:rPr>
            </w:pPr>
            <w:r w:rsidRPr="00DD7EB8">
              <w:rPr>
                <w:rFonts w:eastAsia="Times New Roman" w:cs="Times New Roman"/>
                <w:color w:val="000000"/>
                <w:szCs w:val="20"/>
                <w:lang w:eastAsia="en-GB"/>
              </w:rPr>
              <w:t> </w:t>
            </w:r>
          </w:p>
        </w:tc>
      </w:tr>
      <w:tr w:rsidR="000F0BA8" w:rsidRPr="00DD7EB8" w14:paraId="25E060C3" w14:textId="77777777" w:rsidTr="00DC7046">
        <w:trPr>
          <w:trHeight w:val="288"/>
        </w:trPr>
        <w:tc>
          <w:tcPr>
            <w:tcW w:w="3320" w:type="dxa"/>
            <w:tcBorders>
              <w:top w:val="nil"/>
              <w:left w:val="nil"/>
              <w:bottom w:val="nil"/>
              <w:right w:val="nil"/>
            </w:tcBorders>
            <w:shd w:val="clear" w:color="auto" w:fill="auto"/>
            <w:noWrap/>
            <w:vAlign w:val="bottom"/>
            <w:hideMark/>
          </w:tcPr>
          <w:p w14:paraId="444774F5" w14:textId="77777777" w:rsidR="000F0BA8" w:rsidRPr="00DD7EB8" w:rsidRDefault="000F0BA8" w:rsidP="00DC7046">
            <w:pPr>
              <w:rPr>
                <w:rFonts w:eastAsia="Times New Roman" w:cs="Times New Roman"/>
                <w:color w:val="000000"/>
                <w:szCs w:val="20"/>
                <w:lang w:eastAsia="en-GB"/>
              </w:rPr>
            </w:pPr>
            <w:proofErr w:type="spellStart"/>
            <w:r w:rsidRPr="00DD7EB8">
              <w:rPr>
                <w:rFonts w:eastAsia="Times New Roman" w:cs="Times New Roman"/>
                <w:color w:val="000000"/>
                <w:szCs w:val="20"/>
                <w:lang w:eastAsia="en-GB"/>
              </w:rPr>
              <w:t>Anar</w:t>
            </w:r>
            <w:proofErr w:type="spellEnd"/>
            <w:r w:rsidRPr="00DD7EB8">
              <w:rPr>
                <w:rFonts w:eastAsia="Times New Roman" w:cs="Times New Roman"/>
                <w:color w:val="000000"/>
                <w:szCs w:val="20"/>
                <w:lang w:eastAsia="en-GB"/>
              </w:rPr>
              <w:t xml:space="preserve"> Bayramov</w:t>
            </w:r>
          </w:p>
        </w:tc>
        <w:tc>
          <w:tcPr>
            <w:tcW w:w="2980" w:type="dxa"/>
            <w:tcBorders>
              <w:top w:val="nil"/>
              <w:left w:val="nil"/>
              <w:bottom w:val="nil"/>
              <w:right w:val="nil"/>
            </w:tcBorders>
            <w:shd w:val="clear" w:color="auto" w:fill="auto"/>
            <w:noWrap/>
            <w:vAlign w:val="bottom"/>
            <w:hideMark/>
          </w:tcPr>
          <w:p w14:paraId="045EA9AF" w14:textId="77777777" w:rsidR="000F0BA8" w:rsidRPr="00DD7EB8" w:rsidRDefault="000F0BA8" w:rsidP="00DC7046">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3EA04769" w14:textId="77777777" w:rsidR="000F0BA8" w:rsidRPr="00DD7EB8" w:rsidRDefault="000F0BA8" w:rsidP="00DC7046">
            <w:pPr>
              <w:rPr>
                <w:rFonts w:eastAsia="Times New Roman" w:cs="Times New Roman"/>
                <w:color w:val="000000"/>
                <w:szCs w:val="20"/>
                <w:lang w:eastAsia="en-GB"/>
              </w:rPr>
            </w:pPr>
            <w:r w:rsidRPr="00DD7EB8">
              <w:rPr>
                <w:rFonts w:eastAsia="Times New Roman" w:cs="Times New Roman"/>
                <w:color w:val="000000"/>
                <w:szCs w:val="20"/>
                <w:lang w:eastAsia="en-GB"/>
              </w:rPr>
              <w:t>Natavan Imamguliyeva</w:t>
            </w:r>
          </w:p>
        </w:tc>
      </w:tr>
      <w:tr w:rsidR="000F0BA8" w:rsidRPr="00DD7EB8" w14:paraId="7D265A52" w14:textId="77777777" w:rsidTr="00DC7046">
        <w:trPr>
          <w:trHeight w:val="288"/>
        </w:trPr>
        <w:tc>
          <w:tcPr>
            <w:tcW w:w="3320" w:type="dxa"/>
            <w:tcBorders>
              <w:top w:val="nil"/>
              <w:left w:val="nil"/>
              <w:bottom w:val="nil"/>
              <w:right w:val="nil"/>
            </w:tcBorders>
            <w:shd w:val="clear" w:color="auto" w:fill="auto"/>
            <w:noWrap/>
            <w:vAlign w:val="bottom"/>
            <w:hideMark/>
          </w:tcPr>
          <w:p w14:paraId="2BECD59C" w14:textId="77777777" w:rsidR="000F0BA8" w:rsidRPr="00DD7EB8" w:rsidRDefault="000F0BA8" w:rsidP="00DC7046">
            <w:pPr>
              <w:rPr>
                <w:rFonts w:eastAsia="Times New Roman" w:cs="Times New Roman"/>
                <w:color w:val="000000"/>
                <w:szCs w:val="20"/>
                <w:lang w:eastAsia="en-GB"/>
              </w:rPr>
            </w:pPr>
            <w:r w:rsidRPr="00DD7EB8">
              <w:rPr>
                <w:rFonts w:eastAsia="Times New Roman" w:cs="Times New Roman"/>
                <w:color w:val="000000"/>
                <w:szCs w:val="20"/>
                <w:lang w:eastAsia="en-GB"/>
              </w:rPr>
              <w:t>Chairman of the Board</w:t>
            </w:r>
          </w:p>
        </w:tc>
        <w:tc>
          <w:tcPr>
            <w:tcW w:w="2980" w:type="dxa"/>
            <w:tcBorders>
              <w:top w:val="nil"/>
              <w:left w:val="nil"/>
              <w:bottom w:val="nil"/>
              <w:right w:val="nil"/>
            </w:tcBorders>
            <w:shd w:val="clear" w:color="auto" w:fill="auto"/>
            <w:noWrap/>
            <w:vAlign w:val="bottom"/>
            <w:hideMark/>
          </w:tcPr>
          <w:p w14:paraId="37CB8110" w14:textId="77777777" w:rsidR="000F0BA8" w:rsidRPr="00DD7EB8" w:rsidRDefault="000F0BA8" w:rsidP="00DC7046">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15230FEB" w14:textId="77777777" w:rsidR="000F0BA8" w:rsidRPr="00DD7EB8" w:rsidRDefault="000F0BA8" w:rsidP="00DC7046">
            <w:pPr>
              <w:rPr>
                <w:rFonts w:eastAsia="Times New Roman" w:cs="Times New Roman"/>
                <w:color w:val="000000"/>
                <w:szCs w:val="20"/>
                <w:lang w:eastAsia="en-GB"/>
              </w:rPr>
            </w:pPr>
            <w:r w:rsidRPr="00DD7EB8">
              <w:rPr>
                <w:rFonts w:eastAsia="Times New Roman" w:cs="Times New Roman"/>
                <w:color w:val="000000"/>
                <w:szCs w:val="20"/>
                <w:lang w:eastAsia="en-GB"/>
              </w:rPr>
              <w:t>Chief Accountant</w:t>
            </w:r>
          </w:p>
        </w:tc>
      </w:tr>
    </w:tbl>
    <w:p w14:paraId="6F370077" w14:textId="77777777" w:rsidR="000F0BA8" w:rsidRDefault="000F0BA8" w:rsidP="000D5A86">
      <w:pPr>
        <w:rPr>
          <w:rFonts w:ascii="Times New Roman" w:hAnsi="Times New Roman" w:cs="Times New Roman"/>
          <w:sz w:val="22"/>
          <w:lang w:val="en-US"/>
        </w:rPr>
      </w:pPr>
    </w:p>
    <w:p w14:paraId="72C81B8E" w14:textId="77777777" w:rsidR="000F0BA8" w:rsidRPr="000F0BA8" w:rsidRDefault="000F0BA8" w:rsidP="000F0BA8">
      <w:pPr>
        <w:rPr>
          <w:rFonts w:ascii="Times New Roman" w:hAnsi="Times New Roman" w:cs="Times New Roman"/>
          <w:sz w:val="22"/>
          <w:lang w:val="en-US"/>
        </w:rPr>
      </w:pPr>
    </w:p>
    <w:p w14:paraId="08EDE67B" w14:textId="1335A7CA" w:rsidR="000F0BA8" w:rsidRDefault="000F0BA8" w:rsidP="000F0BA8">
      <w:pPr>
        <w:rPr>
          <w:rFonts w:ascii="Times New Roman" w:hAnsi="Times New Roman" w:cs="Times New Roman"/>
          <w:sz w:val="22"/>
          <w:lang w:val="en-US"/>
        </w:rPr>
      </w:pPr>
    </w:p>
    <w:p w14:paraId="0C72AB48" w14:textId="262193CB" w:rsidR="008F1551" w:rsidRDefault="008F1551" w:rsidP="000F0BA8">
      <w:pPr>
        <w:rPr>
          <w:rFonts w:ascii="Times New Roman" w:hAnsi="Times New Roman" w:cs="Times New Roman"/>
          <w:sz w:val="22"/>
          <w:lang w:val="en-US"/>
        </w:rPr>
      </w:pPr>
    </w:p>
    <w:p w14:paraId="712F93C8" w14:textId="494552F8" w:rsidR="008F1551" w:rsidRDefault="008F1551" w:rsidP="000F0BA8">
      <w:pPr>
        <w:rPr>
          <w:rFonts w:ascii="Times New Roman" w:hAnsi="Times New Roman" w:cs="Times New Roman"/>
          <w:sz w:val="22"/>
          <w:lang w:val="en-US"/>
        </w:rPr>
      </w:pPr>
    </w:p>
    <w:p w14:paraId="038CE2EB" w14:textId="4EE9F749" w:rsidR="008F1551" w:rsidRDefault="008F1551" w:rsidP="000F0BA8">
      <w:pPr>
        <w:rPr>
          <w:rFonts w:ascii="Times New Roman" w:hAnsi="Times New Roman" w:cs="Times New Roman"/>
          <w:sz w:val="22"/>
          <w:lang w:val="en-US"/>
        </w:rPr>
      </w:pPr>
    </w:p>
    <w:p w14:paraId="00C081EB" w14:textId="7444B20A" w:rsidR="008F1551" w:rsidRDefault="008F1551" w:rsidP="000F0BA8">
      <w:pPr>
        <w:rPr>
          <w:rFonts w:ascii="Times New Roman" w:hAnsi="Times New Roman" w:cs="Times New Roman"/>
          <w:sz w:val="22"/>
          <w:lang w:val="en-US"/>
        </w:rPr>
      </w:pPr>
    </w:p>
    <w:p w14:paraId="0A6F2724" w14:textId="653D58AF" w:rsidR="008F1551" w:rsidRDefault="008F1551" w:rsidP="000F0BA8">
      <w:pPr>
        <w:rPr>
          <w:rFonts w:ascii="Times New Roman" w:hAnsi="Times New Roman" w:cs="Times New Roman"/>
          <w:sz w:val="22"/>
          <w:lang w:val="en-US"/>
        </w:rPr>
      </w:pPr>
    </w:p>
    <w:p w14:paraId="4376B58E" w14:textId="77777777" w:rsidR="008F1551" w:rsidRDefault="008F1551" w:rsidP="000F0BA8">
      <w:pPr>
        <w:rPr>
          <w:rFonts w:ascii="Times New Roman" w:hAnsi="Times New Roman" w:cs="Times New Roman"/>
          <w:sz w:val="22"/>
          <w:lang w:val="en-US"/>
        </w:rPr>
        <w:sectPr w:rsidR="008F1551" w:rsidSect="00065F46">
          <w:headerReference w:type="default" r:id="rId17"/>
          <w:pgSz w:w="11906" w:h="16838" w:code="9"/>
          <w:pgMar w:top="1440" w:right="849" w:bottom="1440" w:left="1701" w:header="709" w:footer="709" w:gutter="0"/>
          <w:cols w:space="708"/>
          <w:docGrid w:linePitch="360"/>
        </w:sectPr>
      </w:pPr>
    </w:p>
    <w:p w14:paraId="7D800BC9" w14:textId="2540D6A1" w:rsidR="008F1551" w:rsidRDefault="008F1551" w:rsidP="000F0BA8">
      <w:pPr>
        <w:rPr>
          <w:rFonts w:ascii="Times New Roman" w:hAnsi="Times New Roman" w:cs="Times New Roman"/>
          <w:sz w:val="22"/>
          <w:lang w:val="en-US"/>
        </w:rPr>
      </w:pPr>
    </w:p>
    <w:p w14:paraId="55A10B11" w14:textId="6E74B0D6" w:rsidR="000F0BA8" w:rsidRDefault="000F0BA8" w:rsidP="000F0BA8">
      <w:pPr>
        <w:rPr>
          <w:rFonts w:ascii="Times New Roman" w:hAnsi="Times New Roman" w:cs="Times New Roman"/>
          <w:sz w:val="22"/>
          <w:lang w:val="en-US"/>
        </w:rPr>
      </w:pPr>
    </w:p>
    <w:tbl>
      <w:tblPr>
        <w:tblW w:w="9469" w:type="dxa"/>
        <w:jc w:val="center"/>
        <w:tblBorders>
          <w:top w:val="single" w:sz="4" w:space="0" w:color="auto"/>
          <w:bottom w:val="single" w:sz="12" w:space="0" w:color="auto"/>
        </w:tblBorders>
        <w:tblLayout w:type="fixed"/>
        <w:tblLook w:val="0000" w:firstRow="0" w:lastRow="0" w:firstColumn="0" w:lastColumn="0" w:noHBand="0" w:noVBand="0"/>
      </w:tblPr>
      <w:tblGrid>
        <w:gridCol w:w="3119"/>
        <w:gridCol w:w="992"/>
        <w:gridCol w:w="1247"/>
        <w:gridCol w:w="1191"/>
        <w:gridCol w:w="1559"/>
        <w:gridCol w:w="1361"/>
      </w:tblGrid>
      <w:tr w:rsidR="008F1551" w:rsidRPr="008F1551" w14:paraId="5684F1AF" w14:textId="77777777" w:rsidTr="008F1551">
        <w:trPr>
          <w:trHeight w:val="227"/>
          <w:jc w:val="center"/>
        </w:trPr>
        <w:tc>
          <w:tcPr>
            <w:tcW w:w="3119" w:type="dxa"/>
            <w:tcBorders>
              <w:top w:val="nil"/>
              <w:bottom w:val="single" w:sz="4" w:space="0" w:color="auto"/>
              <w:right w:val="nil"/>
            </w:tcBorders>
            <w:vAlign w:val="bottom"/>
          </w:tcPr>
          <w:p w14:paraId="09AB5BCC" w14:textId="5C300B1E" w:rsidR="008F1551" w:rsidRPr="008F1551" w:rsidRDefault="008F1551" w:rsidP="00DC7046">
            <w:pPr>
              <w:pStyle w:val="Norml"/>
              <w:widowControl w:val="0"/>
              <w:spacing w:after="0"/>
              <w:ind w:left="5" w:right="-113" w:hanging="113"/>
              <w:rPr>
                <w:rFonts w:ascii="Trebuchet MS" w:hAnsi="Trebuchet MS" w:cs="Arial"/>
                <w:b/>
                <w:sz w:val="18"/>
                <w:szCs w:val="18"/>
              </w:rPr>
            </w:pPr>
            <w:bookmarkStart w:id="9" w:name="_Hlk514421970"/>
          </w:p>
        </w:tc>
        <w:tc>
          <w:tcPr>
            <w:tcW w:w="992" w:type="dxa"/>
            <w:tcBorders>
              <w:top w:val="nil"/>
              <w:bottom w:val="single" w:sz="4" w:space="0" w:color="auto"/>
              <w:right w:val="single" w:sz="4" w:space="0" w:color="FFFFFF" w:themeColor="background1"/>
            </w:tcBorders>
            <w:vAlign w:val="bottom"/>
          </w:tcPr>
          <w:p w14:paraId="4375EEF9" w14:textId="5E81CFC8" w:rsidR="008F1551" w:rsidRPr="008F1551" w:rsidRDefault="008F1551" w:rsidP="008F1551">
            <w:pPr>
              <w:ind w:right="-33"/>
              <w:jc w:val="right"/>
              <w:rPr>
                <w:rFonts w:cs="Arial"/>
                <w:b/>
                <w:sz w:val="18"/>
                <w:szCs w:val="18"/>
                <w:lang w:val="en-US"/>
              </w:rPr>
            </w:pPr>
            <w:r w:rsidRPr="008F1551">
              <w:rPr>
                <w:rFonts w:cs="Arial"/>
                <w:b/>
                <w:sz w:val="18"/>
                <w:szCs w:val="18"/>
                <w:lang w:val="en-US"/>
              </w:rPr>
              <w:t>Note</w:t>
            </w:r>
          </w:p>
        </w:tc>
        <w:tc>
          <w:tcPr>
            <w:tcW w:w="1247" w:type="dxa"/>
            <w:tcBorders>
              <w:top w:val="nil"/>
              <w:left w:val="single" w:sz="4" w:space="0" w:color="FFFFFF" w:themeColor="background1"/>
              <w:bottom w:val="single" w:sz="4" w:space="0" w:color="auto"/>
              <w:right w:val="single" w:sz="4" w:space="0" w:color="FFFFFF" w:themeColor="background1"/>
            </w:tcBorders>
            <w:vAlign w:val="bottom"/>
          </w:tcPr>
          <w:p w14:paraId="2A7E704D" w14:textId="5A48C827" w:rsidR="008F1551" w:rsidRPr="008F1551" w:rsidRDefault="008F1551" w:rsidP="008F1551">
            <w:pPr>
              <w:ind w:right="-33"/>
              <w:jc w:val="right"/>
              <w:rPr>
                <w:rFonts w:cs="Arial"/>
                <w:b/>
                <w:sz w:val="18"/>
                <w:szCs w:val="18"/>
                <w:lang w:val="en-US"/>
              </w:rPr>
            </w:pPr>
            <w:r w:rsidRPr="008F1551">
              <w:rPr>
                <w:rFonts w:cs="Arial"/>
                <w:b/>
                <w:sz w:val="18"/>
                <w:szCs w:val="18"/>
                <w:lang w:val="en-US"/>
              </w:rPr>
              <w:t>Share capital</w:t>
            </w:r>
          </w:p>
        </w:tc>
        <w:tc>
          <w:tcPr>
            <w:tcW w:w="1191" w:type="dxa"/>
            <w:tcBorders>
              <w:top w:val="nil"/>
              <w:left w:val="single" w:sz="4" w:space="0" w:color="FFFFFF" w:themeColor="background1"/>
              <w:bottom w:val="single" w:sz="4" w:space="0" w:color="auto"/>
              <w:right w:val="single" w:sz="4" w:space="0" w:color="FFFFFF" w:themeColor="background1"/>
            </w:tcBorders>
            <w:vAlign w:val="bottom"/>
          </w:tcPr>
          <w:p w14:paraId="591FC398" w14:textId="663D4EC9" w:rsidR="008F1551" w:rsidRPr="008F1551" w:rsidRDefault="008F1551" w:rsidP="008F1551">
            <w:pPr>
              <w:ind w:right="-43"/>
              <w:jc w:val="right"/>
              <w:rPr>
                <w:rFonts w:cs="Arial"/>
                <w:b/>
                <w:sz w:val="18"/>
                <w:szCs w:val="18"/>
                <w:lang w:val="en-US"/>
              </w:rPr>
            </w:pPr>
            <w:r w:rsidRPr="008F1551">
              <w:rPr>
                <w:rFonts w:cs="Arial"/>
                <w:b/>
                <w:sz w:val="18"/>
                <w:szCs w:val="18"/>
                <w:lang w:val="en-US"/>
              </w:rPr>
              <w:t>Revaluation reserve</w:t>
            </w:r>
          </w:p>
        </w:tc>
        <w:tc>
          <w:tcPr>
            <w:tcW w:w="1559" w:type="dxa"/>
            <w:tcBorders>
              <w:top w:val="nil"/>
              <w:left w:val="single" w:sz="4" w:space="0" w:color="FFFFFF" w:themeColor="background1"/>
              <w:bottom w:val="single" w:sz="4" w:space="0" w:color="auto"/>
              <w:right w:val="single" w:sz="4" w:space="0" w:color="FFFFFF" w:themeColor="background1"/>
            </w:tcBorders>
            <w:vAlign w:val="bottom"/>
          </w:tcPr>
          <w:p w14:paraId="466A690F" w14:textId="77777777" w:rsidR="008F1551" w:rsidRDefault="008F1551" w:rsidP="008F1551">
            <w:pPr>
              <w:ind w:right="-43"/>
              <w:jc w:val="right"/>
              <w:rPr>
                <w:rFonts w:cs="Arial"/>
                <w:b/>
                <w:sz w:val="18"/>
                <w:szCs w:val="18"/>
                <w:lang w:val="en-US"/>
              </w:rPr>
            </w:pPr>
            <w:r w:rsidRPr="008F1551">
              <w:rPr>
                <w:rFonts w:cs="Arial"/>
                <w:b/>
                <w:sz w:val="18"/>
                <w:szCs w:val="18"/>
                <w:lang w:val="en-US"/>
              </w:rPr>
              <w:t>Retained earnings/</w:t>
            </w:r>
          </w:p>
          <w:p w14:paraId="2D52D2B0" w14:textId="39993A9D" w:rsidR="008F1551" w:rsidRPr="008F1551" w:rsidRDefault="008F1551" w:rsidP="008F1551">
            <w:pPr>
              <w:ind w:right="-43"/>
              <w:jc w:val="right"/>
              <w:rPr>
                <w:rFonts w:cs="Arial"/>
                <w:b/>
                <w:sz w:val="18"/>
                <w:szCs w:val="18"/>
                <w:lang w:val="en-US"/>
              </w:rPr>
            </w:pPr>
            <w:r w:rsidRPr="008F1551">
              <w:rPr>
                <w:rFonts w:cs="Arial"/>
                <w:b/>
                <w:sz w:val="18"/>
                <w:szCs w:val="18"/>
                <w:lang w:val="en-US"/>
              </w:rPr>
              <w:t>(accumulated deficit)</w:t>
            </w:r>
          </w:p>
        </w:tc>
        <w:tc>
          <w:tcPr>
            <w:tcW w:w="1361" w:type="dxa"/>
            <w:tcBorders>
              <w:top w:val="nil"/>
              <w:left w:val="single" w:sz="4" w:space="0" w:color="FFFFFF" w:themeColor="background1"/>
              <w:bottom w:val="single" w:sz="4" w:space="0" w:color="auto"/>
            </w:tcBorders>
            <w:vAlign w:val="bottom"/>
          </w:tcPr>
          <w:p w14:paraId="4FA70C05" w14:textId="23F7414F" w:rsidR="008F1551" w:rsidRPr="008F1551" w:rsidRDefault="008F1551" w:rsidP="008F1551">
            <w:pPr>
              <w:ind w:right="-43"/>
              <w:jc w:val="right"/>
              <w:rPr>
                <w:rFonts w:cs="Arial"/>
                <w:b/>
                <w:sz w:val="18"/>
                <w:szCs w:val="18"/>
                <w:lang w:val="en-US"/>
              </w:rPr>
            </w:pPr>
            <w:r w:rsidRPr="008F1551">
              <w:rPr>
                <w:rFonts w:cs="Arial"/>
                <w:b/>
                <w:sz w:val="18"/>
                <w:szCs w:val="18"/>
                <w:lang w:val="en-US"/>
              </w:rPr>
              <w:t>Total equity</w:t>
            </w:r>
          </w:p>
        </w:tc>
      </w:tr>
      <w:tr w:rsidR="008F1551" w:rsidRPr="008F1551" w14:paraId="269CB283" w14:textId="77777777" w:rsidTr="008F1551">
        <w:trPr>
          <w:trHeight w:val="227"/>
          <w:jc w:val="center"/>
        </w:trPr>
        <w:tc>
          <w:tcPr>
            <w:tcW w:w="3119" w:type="dxa"/>
            <w:tcBorders>
              <w:top w:val="single" w:sz="4" w:space="0" w:color="auto"/>
              <w:bottom w:val="nil"/>
              <w:right w:val="nil"/>
            </w:tcBorders>
            <w:vAlign w:val="bottom"/>
          </w:tcPr>
          <w:p w14:paraId="4538A68F" w14:textId="77777777" w:rsidR="008F1551" w:rsidRPr="008F1551" w:rsidRDefault="008F1551" w:rsidP="00DC7046">
            <w:pPr>
              <w:pStyle w:val="Norml"/>
              <w:widowControl w:val="0"/>
              <w:spacing w:after="0"/>
              <w:ind w:left="5" w:right="-113" w:hanging="113"/>
              <w:rPr>
                <w:rFonts w:ascii="Trebuchet MS" w:hAnsi="Trebuchet MS" w:cs="Arial"/>
                <w:i/>
                <w:sz w:val="18"/>
                <w:szCs w:val="18"/>
              </w:rPr>
            </w:pPr>
            <w:r w:rsidRPr="008F1551">
              <w:rPr>
                <w:rFonts w:ascii="Trebuchet MS" w:hAnsi="Trebuchet MS"/>
                <w:i/>
                <w:sz w:val="18"/>
                <w:szCs w:val="18"/>
              </w:rPr>
              <w:t xml:space="preserve"> </w:t>
            </w:r>
          </w:p>
        </w:tc>
        <w:tc>
          <w:tcPr>
            <w:tcW w:w="992" w:type="dxa"/>
            <w:tcBorders>
              <w:top w:val="single" w:sz="4" w:space="0" w:color="auto"/>
              <w:bottom w:val="nil"/>
              <w:right w:val="single" w:sz="4" w:space="0" w:color="FFFFFF" w:themeColor="background1"/>
            </w:tcBorders>
            <w:vAlign w:val="bottom"/>
          </w:tcPr>
          <w:p w14:paraId="0A23068B" w14:textId="77777777" w:rsidR="008F1551" w:rsidRPr="008F1551" w:rsidRDefault="008F1551" w:rsidP="008F1551">
            <w:pPr>
              <w:ind w:left="-92"/>
              <w:jc w:val="right"/>
              <w:rPr>
                <w:rFonts w:cs="Arial"/>
                <w:sz w:val="18"/>
                <w:szCs w:val="18"/>
                <w:lang w:val="ru-RU"/>
              </w:rPr>
            </w:pPr>
          </w:p>
        </w:tc>
        <w:tc>
          <w:tcPr>
            <w:tcW w:w="1247" w:type="dxa"/>
            <w:tcBorders>
              <w:top w:val="single" w:sz="4" w:space="0" w:color="auto"/>
              <w:left w:val="single" w:sz="4" w:space="0" w:color="FFFFFF" w:themeColor="background1"/>
              <w:bottom w:val="nil"/>
              <w:right w:val="single" w:sz="4" w:space="0" w:color="FFFFFF" w:themeColor="background1"/>
            </w:tcBorders>
            <w:vAlign w:val="bottom"/>
          </w:tcPr>
          <w:p w14:paraId="2C685F44" w14:textId="1E5DA8D7" w:rsidR="008F1551" w:rsidRPr="008F1551" w:rsidRDefault="008F1551" w:rsidP="008F1551">
            <w:pPr>
              <w:ind w:left="-92"/>
              <w:jc w:val="right"/>
              <w:rPr>
                <w:rFonts w:cs="Arial"/>
                <w:sz w:val="18"/>
                <w:szCs w:val="18"/>
                <w:lang w:val="ru-RU"/>
              </w:rPr>
            </w:pPr>
          </w:p>
        </w:tc>
        <w:tc>
          <w:tcPr>
            <w:tcW w:w="1191" w:type="dxa"/>
            <w:tcBorders>
              <w:top w:val="single" w:sz="4" w:space="0" w:color="auto"/>
              <w:left w:val="single" w:sz="4" w:space="0" w:color="FFFFFF" w:themeColor="background1"/>
              <w:bottom w:val="nil"/>
              <w:right w:val="single" w:sz="4" w:space="0" w:color="FFFFFF" w:themeColor="background1"/>
            </w:tcBorders>
            <w:vAlign w:val="bottom"/>
          </w:tcPr>
          <w:p w14:paraId="2EAD5C81" w14:textId="77777777" w:rsidR="008F1551" w:rsidRPr="008F1551" w:rsidRDefault="008F1551" w:rsidP="008F1551">
            <w:pPr>
              <w:ind w:left="-92"/>
              <w:jc w:val="right"/>
              <w:rPr>
                <w:rFonts w:cs="Arial"/>
                <w:sz w:val="18"/>
                <w:szCs w:val="18"/>
                <w:lang w:val="ru-RU"/>
              </w:rPr>
            </w:pPr>
          </w:p>
        </w:tc>
        <w:tc>
          <w:tcPr>
            <w:tcW w:w="1559" w:type="dxa"/>
            <w:tcBorders>
              <w:top w:val="single" w:sz="4" w:space="0" w:color="auto"/>
              <w:left w:val="single" w:sz="4" w:space="0" w:color="FFFFFF" w:themeColor="background1"/>
              <w:bottom w:val="nil"/>
              <w:right w:val="single" w:sz="4" w:space="0" w:color="FFFFFF" w:themeColor="background1"/>
            </w:tcBorders>
            <w:vAlign w:val="bottom"/>
          </w:tcPr>
          <w:p w14:paraId="2FBB4B77" w14:textId="329F91E9" w:rsidR="008F1551" w:rsidRPr="008F1551" w:rsidRDefault="008F1551" w:rsidP="008F1551">
            <w:pPr>
              <w:ind w:left="-92"/>
              <w:jc w:val="right"/>
              <w:rPr>
                <w:rFonts w:cs="Arial"/>
                <w:sz w:val="18"/>
                <w:szCs w:val="18"/>
                <w:lang w:val="ru-RU"/>
              </w:rPr>
            </w:pPr>
          </w:p>
        </w:tc>
        <w:tc>
          <w:tcPr>
            <w:tcW w:w="1361" w:type="dxa"/>
            <w:tcBorders>
              <w:top w:val="single" w:sz="4" w:space="0" w:color="auto"/>
              <w:left w:val="single" w:sz="4" w:space="0" w:color="FFFFFF" w:themeColor="background1"/>
              <w:bottom w:val="nil"/>
            </w:tcBorders>
            <w:vAlign w:val="bottom"/>
          </w:tcPr>
          <w:p w14:paraId="3B1B6FCC" w14:textId="5D6967AD" w:rsidR="008F1551" w:rsidRPr="008F1551" w:rsidRDefault="008F1551" w:rsidP="008F1551">
            <w:pPr>
              <w:ind w:left="-92"/>
              <w:jc w:val="right"/>
              <w:rPr>
                <w:rFonts w:cs="Arial"/>
                <w:sz w:val="18"/>
                <w:szCs w:val="18"/>
                <w:lang w:val="ru-RU"/>
              </w:rPr>
            </w:pPr>
          </w:p>
        </w:tc>
      </w:tr>
      <w:tr w:rsidR="008F1551" w:rsidRPr="008F1551" w14:paraId="5F324269" w14:textId="77777777" w:rsidTr="008F1551">
        <w:trPr>
          <w:trHeight w:val="227"/>
          <w:jc w:val="center"/>
        </w:trPr>
        <w:tc>
          <w:tcPr>
            <w:tcW w:w="3119" w:type="dxa"/>
            <w:tcBorders>
              <w:top w:val="nil"/>
              <w:bottom w:val="nil"/>
              <w:right w:val="nil"/>
            </w:tcBorders>
            <w:vAlign w:val="bottom"/>
          </w:tcPr>
          <w:p w14:paraId="6479176A" w14:textId="77777777" w:rsidR="008F1551" w:rsidRPr="008F1551" w:rsidRDefault="008F1551" w:rsidP="00DC7046">
            <w:pPr>
              <w:pStyle w:val="Footer"/>
              <w:ind w:left="5" w:right="-113" w:hanging="113"/>
              <w:rPr>
                <w:rFonts w:cs="Arial"/>
                <w:b/>
                <w:sz w:val="18"/>
                <w:szCs w:val="18"/>
              </w:rPr>
            </w:pPr>
            <w:r w:rsidRPr="008F1551">
              <w:rPr>
                <w:b/>
                <w:sz w:val="18"/>
                <w:szCs w:val="18"/>
              </w:rPr>
              <w:t xml:space="preserve">As of </w:t>
            </w:r>
            <w:proofErr w:type="gramStart"/>
            <w:r w:rsidRPr="008F1551">
              <w:rPr>
                <w:b/>
                <w:sz w:val="18"/>
                <w:szCs w:val="18"/>
              </w:rPr>
              <w:t>1 January</w:t>
            </w:r>
            <w:proofErr w:type="gramEnd"/>
            <w:r w:rsidRPr="008F1551">
              <w:rPr>
                <w:b/>
                <w:sz w:val="18"/>
                <w:szCs w:val="18"/>
              </w:rPr>
              <w:t xml:space="preserve"> 2018</w:t>
            </w:r>
          </w:p>
        </w:tc>
        <w:tc>
          <w:tcPr>
            <w:tcW w:w="992" w:type="dxa"/>
            <w:tcBorders>
              <w:top w:val="nil"/>
              <w:left w:val="nil"/>
              <w:bottom w:val="nil"/>
              <w:right w:val="nil"/>
            </w:tcBorders>
            <w:vAlign w:val="bottom"/>
          </w:tcPr>
          <w:p w14:paraId="39DC7433" w14:textId="77777777" w:rsidR="008F1551" w:rsidRPr="008F1551" w:rsidRDefault="008F1551" w:rsidP="008F1551">
            <w:pPr>
              <w:tabs>
                <w:tab w:val="decimal" w:pos="964"/>
              </w:tabs>
              <w:ind w:left="-113"/>
              <w:jc w:val="right"/>
              <w:rPr>
                <w:sz w:val="18"/>
                <w:szCs w:val="18"/>
              </w:rPr>
            </w:pPr>
          </w:p>
        </w:tc>
        <w:tc>
          <w:tcPr>
            <w:tcW w:w="1247" w:type="dxa"/>
            <w:tcBorders>
              <w:top w:val="nil"/>
              <w:left w:val="nil"/>
              <w:bottom w:val="nil"/>
              <w:right w:val="nil"/>
            </w:tcBorders>
            <w:vAlign w:val="bottom"/>
          </w:tcPr>
          <w:p w14:paraId="1C0EB31B" w14:textId="4ED28EF8" w:rsidR="008F1551" w:rsidRPr="008F1551" w:rsidRDefault="008F1551" w:rsidP="008F1551">
            <w:pPr>
              <w:tabs>
                <w:tab w:val="decimal" w:pos="964"/>
              </w:tabs>
              <w:ind w:left="-113"/>
              <w:jc w:val="right"/>
              <w:rPr>
                <w:rFonts w:cs="Arial"/>
                <w:sz w:val="18"/>
                <w:szCs w:val="18"/>
              </w:rPr>
            </w:pPr>
            <w:r>
              <w:rPr>
                <w:rFonts w:cs="Arial"/>
                <w:sz w:val="18"/>
                <w:szCs w:val="18"/>
              </w:rPr>
              <w:t>10,005,250</w:t>
            </w:r>
          </w:p>
        </w:tc>
        <w:tc>
          <w:tcPr>
            <w:tcW w:w="1191" w:type="dxa"/>
            <w:tcBorders>
              <w:top w:val="nil"/>
              <w:left w:val="nil"/>
              <w:bottom w:val="nil"/>
              <w:right w:val="nil"/>
            </w:tcBorders>
            <w:vAlign w:val="bottom"/>
          </w:tcPr>
          <w:p w14:paraId="034B61DA" w14:textId="433B752B" w:rsidR="008F1551" w:rsidRPr="008F1551" w:rsidRDefault="008F1551" w:rsidP="008F1551">
            <w:pPr>
              <w:tabs>
                <w:tab w:val="decimal" w:pos="964"/>
              </w:tabs>
              <w:ind w:left="-113"/>
              <w:jc w:val="right"/>
              <w:rPr>
                <w:sz w:val="18"/>
                <w:szCs w:val="18"/>
              </w:rPr>
            </w:pPr>
            <w:r>
              <w:rPr>
                <w:sz w:val="18"/>
                <w:szCs w:val="18"/>
              </w:rPr>
              <w:t>71,874</w:t>
            </w:r>
          </w:p>
        </w:tc>
        <w:tc>
          <w:tcPr>
            <w:tcW w:w="1559" w:type="dxa"/>
            <w:tcBorders>
              <w:top w:val="nil"/>
              <w:left w:val="nil"/>
              <w:bottom w:val="nil"/>
              <w:right w:val="nil"/>
            </w:tcBorders>
            <w:vAlign w:val="bottom"/>
          </w:tcPr>
          <w:p w14:paraId="346BCA73" w14:textId="2CE03C8B" w:rsidR="008F1551" w:rsidRPr="008F1551" w:rsidRDefault="008F1551" w:rsidP="008F1551">
            <w:pPr>
              <w:tabs>
                <w:tab w:val="decimal" w:pos="964"/>
              </w:tabs>
              <w:ind w:left="-113"/>
              <w:jc w:val="right"/>
              <w:rPr>
                <w:sz w:val="18"/>
                <w:szCs w:val="18"/>
              </w:rPr>
            </w:pPr>
            <w:r>
              <w:rPr>
                <w:sz w:val="18"/>
                <w:szCs w:val="18"/>
              </w:rPr>
              <w:t>(159,900)</w:t>
            </w:r>
          </w:p>
        </w:tc>
        <w:tc>
          <w:tcPr>
            <w:tcW w:w="1361" w:type="dxa"/>
            <w:tcBorders>
              <w:top w:val="nil"/>
              <w:left w:val="nil"/>
              <w:bottom w:val="nil"/>
            </w:tcBorders>
            <w:vAlign w:val="bottom"/>
          </w:tcPr>
          <w:p w14:paraId="7AF9E0CE" w14:textId="7B28E7C4" w:rsidR="008F1551" w:rsidRPr="008F1551" w:rsidRDefault="008F1551" w:rsidP="008F1551">
            <w:pPr>
              <w:tabs>
                <w:tab w:val="decimal" w:pos="964"/>
              </w:tabs>
              <w:ind w:left="-113"/>
              <w:jc w:val="right"/>
              <w:rPr>
                <w:rFonts w:cs="Arial"/>
                <w:bCs/>
                <w:color w:val="000000"/>
                <w:sz w:val="18"/>
                <w:szCs w:val="18"/>
              </w:rPr>
            </w:pPr>
            <w:r>
              <w:rPr>
                <w:rFonts w:cs="Arial"/>
                <w:bCs/>
                <w:color w:val="000000"/>
                <w:sz w:val="18"/>
                <w:szCs w:val="18"/>
              </w:rPr>
              <w:t>9,917,224</w:t>
            </w:r>
          </w:p>
        </w:tc>
      </w:tr>
      <w:tr w:rsidR="008F1551" w:rsidRPr="008F1551" w14:paraId="07187654" w14:textId="77777777" w:rsidTr="008F1551">
        <w:trPr>
          <w:trHeight w:val="227"/>
          <w:jc w:val="center"/>
        </w:trPr>
        <w:tc>
          <w:tcPr>
            <w:tcW w:w="3119" w:type="dxa"/>
            <w:tcBorders>
              <w:top w:val="nil"/>
              <w:bottom w:val="nil"/>
            </w:tcBorders>
            <w:vAlign w:val="bottom"/>
          </w:tcPr>
          <w:p w14:paraId="262A8E7D" w14:textId="77777777" w:rsidR="008F1551" w:rsidRPr="008F1551" w:rsidRDefault="008F1551" w:rsidP="00DC7046">
            <w:pPr>
              <w:pStyle w:val="Footer"/>
              <w:ind w:left="5" w:right="-113" w:hanging="113"/>
              <w:rPr>
                <w:rFonts w:cs="Arial"/>
                <w:b/>
                <w:sz w:val="18"/>
                <w:szCs w:val="18"/>
              </w:rPr>
            </w:pPr>
            <w:r w:rsidRPr="008F1551">
              <w:rPr>
                <w:b/>
                <w:sz w:val="18"/>
                <w:szCs w:val="18"/>
              </w:rPr>
              <w:t xml:space="preserve"> </w:t>
            </w:r>
          </w:p>
        </w:tc>
        <w:tc>
          <w:tcPr>
            <w:tcW w:w="992" w:type="dxa"/>
            <w:tcBorders>
              <w:top w:val="nil"/>
              <w:bottom w:val="nil"/>
            </w:tcBorders>
            <w:vAlign w:val="bottom"/>
          </w:tcPr>
          <w:p w14:paraId="38F8B671" w14:textId="77777777" w:rsidR="008F1551" w:rsidRPr="008F1551" w:rsidRDefault="008F1551" w:rsidP="008F1551">
            <w:pPr>
              <w:tabs>
                <w:tab w:val="decimal" w:pos="964"/>
              </w:tabs>
              <w:ind w:left="-113"/>
              <w:jc w:val="right"/>
              <w:rPr>
                <w:rFonts w:cs="Arial"/>
                <w:sz w:val="18"/>
                <w:szCs w:val="18"/>
                <w:lang w:val="ru-RU"/>
              </w:rPr>
            </w:pPr>
          </w:p>
        </w:tc>
        <w:tc>
          <w:tcPr>
            <w:tcW w:w="1247" w:type="dxa"/>
            <w:tcBorders>
              <w:top w:val="nil"/>
              <w:left w:val="single" w:sz="4" w:space="0" w:color="FFFFFF" w:themeColor="background1"/>
              <w:bottom w:val="nil"/>
              <w:right w:val="single" w:sz="4" w:space="0" w:color="FFFFFF" w:themeColor="background1"/>
            </w:tcBorders>
            <w:vAlign w:val="bottom"/>
          </w:tcPr>
          <w:p w14:paraId="7B44D4C4" w14:textId="5962A8F5" w:rsidR="008F1551" w:rsidRPr="008F1551" w:rsidRDefault="008F1551" w:rsidP="008F1551">
            <w:pPr>
              <w:tabs>
                <w:tab w:val="decimal" w:pos="964"/>
              </w:tabs>
              <w:ind w:left="-113"/>
              <w:jc w:val="right"/>
              <w:rPr>
                <w:rFonts w:cs="Arial"/>
                <w:sz w:val="18"/>
                <w:szCs w:val="18"/>
                <w:lang w:val="ru-RU"/>
              </w:rPr>
            </w:pPr>
          </w:p>
        </w:tc>
        <w:tc>
          <w:tcPr>
            <w:tcW w:w="1191" w:type="dxa"/>
            <w:tcBorders>
              <w:top w:val="nil"/>
              <w:left w:val="single" w:sz="4" w:space="0" w:color="FFFFFF" w:themeColor="background1"/>
              <w:bottom w:val="nil"/>
              <w:right w:val="single" w:sz="4" w:space="0" w:color="FFFFFF" w:themeColor="background1"/>
            </w:tcBorders>
            <w:vAlign w:val="bottom"/>
          </w:tcPr>
          <w:p w14:paraId="522B499D" w14:textId="77777777" w:rsidR="008F1551" w:rsidRPr="008F1551" w:rsidRDefault="008F1551" w:rsidP="008F1551">
            <w:pPr>
              <w:tabs>
                <w:tab w:val="decimal" w:pos="964"/>
              </w:tabs>
              <w:ind w:left="-113"/>
              <w:jc w:val="right"/>
              <w:rPr>
                <w:rFonts w:cs="Arial"/>
                <w:sz w:val="18"/>
                <w:szCs w:val="18"/>
                <w:lang w:val="ru-RU"/>
              </w:rPr>
            </w:pPr>
          </w:p>
        </w:tc>
        <w:tc>
          <w:tcPr>
            <w:tcW w:w="1559" w:type="dxa"/>
            <w:tcBorders>
              <w:top w:val="nil"/>
              <w:left w:val="single" w:sz="4" w:space="0" w:color="FFFFFF" w:themeColor="background1"/>
              <w:bottom w:val="nil"/>
              <w:right w:val="single" w:sz="4" w:space="0" w:color="FFFFFF" w:themeColor="background1"/>
            </w:tcBorders>
            <w:vAlign w:val="bottom"/>
          </w:tcPr>
          <w:p w14:paraId="5F471651" w14:textId="7DF59A3E" w:rsidR="008F1551" w:rsidRPr="008F1551" w:rsidRDefault="008F1551" w:rsidP="008F1551">
            <w:pPr>
              <w:tabs>
                <w:tab w:val="decimal" w:pos="964"/>
              </w:tabs>
              <w:ind w:left="-113"/>
              <w:jc w:val="right"/>
              <w:rPr>
                <w:rFonts w:cs="Arial"/>
                <w:sz w:val="18"/>
                <w:szCs w:val="18"/>
                <w:lang w:val="ru-RU"/>
              </w:rPr>
            </w:pPr>
          </w:p>
        </w:tc>
        <w:tc>
          <w:tcPr>
            <w:tcW w:w="1361" w:type="dxa"/>
            <w:tcBorders>
              <w:top w:val="nil"/>
              <w:left w:val="single" w:sz="4" w:space="0" w:color="FFFFFF" w:themeColor="background1"/>
              <w:bottom w:val="nil"/>
            </w:tcBorders>
            <w:vAlign w:val="bottom"/>
          </w:tcPr>
          <w:p w14:paraId="1AA3559F" w14:textId="264279CB" w:rsidR="008F1551" w:rsidRPr="008F1551" w:rsidRDefault="008F1551" w:rsidP="008F1551">
            <w:pPr>
              <w:tabs>
                <w:tab w:val="decimal" w:pos="964"/>
              </w:tabs>
              <w:ind w:left="-113"/>
              <w:jc w:val="right"/>
              <w:rPr>
                <w:rFonts w:cs="Arial"/>
                <w:sz w:val="18"/>
                <w:szCs w:val="18"/>
                <w:lang w:val="ru-RU"/>
              </w:rPr>
            </w:pPr>
          </w:p>
        </w:tc>
      </w:tr>
      <w:tr w:rsidR="008F1551" w:rsidRPr="008F1551" w14:paraId="3C4F3C52" w14:textId="77777777" w:rsidTr="008F1551">
        <w:trPr>
          <w:trHeight w:val="227"/>
          <w:jc w:val="center"/>
        </w:trPr>
        <w:tc>
          <w:tcPr>
            <w:tcW w:w="3119" w:type="dxa"/>
            <w:tcBorders>
              <w:top w:val="nil"/>
              <w:bottom w:val="nil"/>
            </w:tcBorders>
            <w:vAlign w:val="bottom"/>
          </w:tcPr>
          <w:p w14:paraId="50802585" w14:textId="7DDCC515" w:rsidR="008F1551" w:rsidRPr="008F1551" w:rsidRDefault="008F1551" w:rsidP="00DC7046">
            <w:pPr>
              <w:pStyle w:val="Footer"/>
              <w:ind w:left="5" w:right="-113" w:hanging="113"/>
              <w:rPr>
                <w:rFonts w:cs="Arial"/>
                <w:sz w:val="18"/>
                <w:szCs w:val="18"/>
              </w:rPr>
            </w:pPr>
            <w:r>
              <w:rPr>
                <w:sz w:val="18"/>
                <w:szCs w:val="18"/>
              </w:rPr>
              <w:t>Net profit for the year</w:t>
            </w:r>
          </w:p>
        </w:tc>
        <w:tc>
          <w:tcPr>
            <w:tcW w:w="992" w:type="dxa"/>
            <w:tcBorders>
              <w:top w:val="nil"/>
              <w:bottom w:val="nil"/>
            </w:tcBorders>
            <w:vAlign w:val="bottom"/>
          </w:tcPr>
          <w:p w14:paraId="01A96949" w14:textId="77777777" w:rsidR="008F1551" w:rsidRPr="008F1551" w:rsidRDefault="008F1551" w:rsidP="008F1551">
            <w:pPr>
              <w:tabs>
                <w:tab w:val="decimal" w:pos="964"/>
              </w:tabs>
              <w:ind w:left="-113"/>
              <w:jc w:val="right"/>
              <w:rPr>
                <w:color w:val="000000"/>
                <w:sz w:val="18"/>
                <w:szCs w:val="18"/>
              </w:rPr>
            </w:pPr>
          </w:p>
        </w:tc>
        <w:tc>
          <w:tcPr>
            <w:tcW w:w="1247" w:type="dxa"/>
            <w:tcBorders>
              <w:top w:val="nil"/>
              <w:left w:val="single" w:sz="4" w:space="0" w:color="FFFFFF" w:themeColor="background1"/>
              <w:bottom w:val="nil"/>
              <w:right w:val="single" w:sz="4" w:space="0" w:color="FFFFFF" w:themeColor="background1"/>
            </w:tcBorders>
            <w:vAlign w:val="bottom"/>
          </w:tcPr>
          <w:p w14:paraId="7A244AB1" w14:textId="74227DA4" w:rsidR="008F1551" w:rsidRPr="008F1551" w:rsidRDefault="00DC7046" w:rsidP="008F1551">
            <w:pPr>
              <w:tabs>
                <w:tab w:val="decimal" w:pos="964"/>
              </w:tabs>
              <w:ind w:left="-113"/>
              <w:jc w:val="right"/>
              <w:rPr>
                <w:rFonts w:cs="Arial"/>
                <w:sz w:val="18"/>
                <w:szCs w:val="18"/>
              </w:rPr>
            </w:pPr>
            <w:r>
              <w:rPr>
                <w:rFonts w:cs="Arial"/>
                <w:sz w:val="18"/>
                <w:szCs w:val="18"/>
              </w:rPr>
              <w:t>-</w:t>
            </w:r>
          </w:p>
        </w:tc>
        <w:tc>
          <w:tcPr>
            <w:tcW w:w="1191" w:type="dxa"/>
            <w:tcBorders>
              <w:top w:val="nil"/>
              <w:left w:val="single" w:sz="4" w:space="0" w:color="FFFFFF" w:themeColor="background1"/>
              <w:bottom w:val="nil"/>
              <w:right w:val="single" w:sz="4" w:space="0" w:color="FFFFFF" w:themeColor="background1"/>
            </w:tcBorders>
            <w:vAlign w:val="bottom"/>
          </w:tcPr>
          <w:p w14:paraId="51242A67" w14:textId="6A3AE4CD" w:rsidR="008F1551" w:rsidRPr="008F1551" w:rsidRDefault="00DC7046" w:rsidP="008F1551">
            <w:pPr>
              <w:tabs>
                <w:tab w:val="decimal" w:pos="964"/>
              </w:tabs>
              <w:ind w:left="-113"/>
              <w:jc w:val="right"/>
              <w:rPr>
                <w:color w:val="000000"/>
                <w:sz w:val="18"/>
                <w:szCs w:val="18"/>
              </w:rPr>
            </w:pPr>
            <w:r>
              <w:rPr>
                <w:color w:val="000000"/>
                <w:sz w:val="18"/>
                <w:szCs w:val="18"/>
              </w:rPr>
              <w:t>-</w:t>
            </w:r>
          </w:p>
        </w:tc>
        <w:tc>
          <w:tcPr>
            <w:tcW w:w="1559" w:type="dxa"/>
            <w:tcBorders>
              <w:top w:val="nil"/>
              <w:left w:val="single" w:sz="4" w:space="0" w:color="FFFFFF" w:themeColor="background1"/>
              <w:bottom w:val="nil"/>
              <w:right w:val="single" w:sz="4" w:space="0" w:color="FFFFFF" w:themeColor="background1"/>
            </w:tcBorders>
            <w:vAlign w:val="bottom"/>
          </w:tcPr>
          <w:p w14:paraId="61CC1791" w14:textId="547D7EF0" w:rsidR="008F1551" w:rsidRPr="008F1551" w:rsidRDefault="00DC7046" w:rsidP="008F1551">
            <w:pPr>
              <w:tabs>
                <w:tab w:val="decimal" w:pos="964"/>
              </w:tabs>
              <w:ind w:left="-113"/>
              <w:jc w:val="right"/>
              <w:rPr>
                <w:color w:val="000000"/>
                <w:sz w:val="18"/>
                <w:szCs w:val="18"/>
              </w:rPr>
            </w:pPr>
            <w:r>
              <w:rPr>
                <w:color w:val="000000"/>
                <w:sz w:val="18"/>
                <w:szCs w:val="18"/>
              </w:rPr>
              <w:t>2,</w:t>
            </w:r>
            <w:r w:rsidR="002D3E99">
              <w:rPr>
                <w:color w:val="000000"/>
                <w:sz w:val="18"/>
                <w:szCs w:val="18"/>
              </w:rPr>
              <w:t>240,720</w:t>
            </w:r>
          </w:p>
        </w:tc>
        <w:tc>
          <w:tcPr>
            <w:tcW w:w="1361" w:type="dxa"/>
            <w:tcBorders>
              <w:top w:val="nil"/>
              <w:left w:val="single" w:sz="4" w:space="0" w:color="FFFFFF" w:themeColor="background1"/>
              <w:bottom w:val="nil"/>
            </w:tcBorders>
            <w:vAlign w:val="bottom"/>
          </w:tcPr>
          <w:p w14:paraId="5D52608F" w14:textId="0CAE3DF0" w:rsidR="008F1551" w:rsidRPr="008F1551" w:rsidRDefault="002D3E99" w:rsidP="008F1551">
            <w:pPr>
              <w:tabs>
                <w:tab w:val="decimal" w:pos="964"/>
              </w:tabs>
              <w:ind w:left="-113"/>
              <w:jc w:val="right"/>
              <w:rPr>
                <w:rFonts w:cs="Arial"/>
                <w:bCs/>
                <w:color w:val="000000"/>
                <w:sz w:val="18"/>
                <w:szCs w:val="18"/>
              </w:rPr>
            </w:pPr>
            <w:r>
              <w:rPr>
                <w:rFonts w:cs="Arial"/>
                <w:bCs/>
                <w:color w:val="000000"/>
                <w:sz w:val="18"/>
                <w:szCs w:val="18"/>
              </w:rPr>
              <w:t>2,240,720</w:t>
            </w:r>
          </w:p>
        </w:tc>
      </w:tr>
      <w:tr w:rsidR="008F1551" w:rsidRPr="008F1551" w14:paraId="6F18B064" w14:textId="77777777" w:rsidTr="002D3E99">
        <w:trPr>
          <w:trHeight w:val="488"/>
          <w:jc w:val="center"/>
        </w:trPr>
        <w:tc>
          <w:tcPr>
            <w:tcW w:w="3119" w:type="dxa"/>
            <w:tcBorders>
              <w:top w:val="nil"/>
              <w:bottom w:val="nil"/>
            </w:tcBorders>
            <w:vAlign w:val="bottom"/>
          </w:tcPr>
          <w:p w14:paraId="28816FCC" w14:textId="3A48FD43" w:rsidR="008F1551" w:rsidRPr="008F1551" w:rsidRDefault="008F1551" w:rsidP="00DC7046">
            <w:pPr>
              <w:pStyle w:val="Footer"/>
              <w:ind w:left="5" w:right="-113" w:hanging="113"/>
              <w:rPr>
                <w:sz w:val="18"/>
                <w:szCs w:val="18"/>
              </w:rPr>
            </w:pPr>
            <w:r>
              <w:rPr>
                <w:sz w:val="18"/>
                <w:szCs w:val="18"/>
              </w:rPr>
              <w:t>Other comprehensive loss for the year, net of tax</w:t>
            </w:r>
          </w:p>
        </w:tc>
        <w:tc>
          <w:tcPr>
            <w:tcW w:w="992" w:type="dxa"/>
            <w:tcBorders>
              <w:top w:val="nil"/>
              <w:bottom w:val="nil"/>
            </w:tcBorders>
            <w:vAlign w:val="bottom"/>
          </w:tcPr>
          <w:p w14:paraId="08AAB510" w14:textId="77777777" w:rsidR="008F1551" w:rsidRPr="008F1551" w:rsidRDefault="008F1551" w:rsidP="008F1551">
            <w:pPr>
              <w:tabs>
                <w:tab w:val="decimal" w:pos="964"/>
              </w:tabs>
              <w:ind w:left="-113"/>
              <w:jc w:val="right"/>
              <w:rPr>
                <w:color w:val="000000"/>
                <w:sz w:val="18"/>
                <w:szCs w:val="18"/>
              </w:rPr>
            </w:pPr>
          </w:p>
        </w:tc>
        <w:tc>
          <w:tcPr>
            <w:tcW w:w="1247" w:type="dxa"/>
            <w:tcBorders>
              <w:top w:val="nil"/>
              <w:left w:val="single" w:sz="4" w:space="0" w:color="FFFFFF" w:themeColor="background1"/>
              <w:bottom w:val="nil"/>
              <w:right w:val="single" w:sz="4" w:space="0" w:color="FFFFFF" w:themeColor="background1"/>
            </w:tcBorders>
            <w:vAlign w:val="bottom"/>
          </w:tcPr>
          <w:p w14:paraId="17F0D306" w14:textId="24EA522E" w:rsidR="008F1551" w:rsidRPr="008F1551" w:rsidRDefault="00DC7046" w:rsidP="008F1551">
            <w:pPr>
              <w:tabs>
                <w:tab w:val="decimal" w:pos="964"/>
              </w:tabs>
              <w:ind w:left="-113"/>
              <w:jc w:val="right"/>
              <w:rPr>
                <w:color w:val="000000"/>
                <w:sz w:val="18"/>
                <w:szCs w:val="18"/>
              </w:rPr>
            </w:pPr>
            <w:r>
              <w:rPr>
                <w:color w:val="000000"/>
                <w:sz w:val="18"/>
                <w:szCs w:val="18"/>
              </w:rPr>
              <w:t>-</w:t>
            </w:r>
          </w:p>
        </w:tc>
        <w:tc>
          <w:tcPr>
            <w:tcW w:w="1191" w:type="dxa"/>
            <w:tcBorders>
              <w:top w:val="nil"/>
              <w:left w:val="single" w:sz="4" w:space="0" w:color="FFFFFF" w:themeColor="background1"/>
              <w:bottom w:val="nil"/>
              <w:right w:val="single" w:sz="4" w:space="0" w:color="FFFFFF" w:themeColor="background1"/>
            </w:tcBorders>
            <w:vAlign w:val="bottom"/>
          </w:tcPr>
          <w:p w14:paraId="0CDC471A" w14:textId="18981DC6" w:rsidR="008F1551" w:rsidRPr="008F1551" w:rsidRDefault="00DC7046" w:rsidP="008F1551">
            <w:pPr>
              <w:tabs>
                <w:tab w:val="decimal" w:pos="964"/>
              </w:tabs>
              <w:ind w:left="-113"/>
              <w:jc w:val="right"/>
              <w:rPr>
                <w:color w:val="000000"/>
                <w:sz w:val="18"/>
                <w:szCs w:val="18"/>
              </w:rPr>
            </w:pPr>
            <w:r>
              <w:rPr>
                <w:color w:val="000000"/>
                <w:sz w:val="18"/>
                <w:szCs w:val="18"/>
              </w:rPr>
              <w:t>(5,054)</w:t>
            </w:r>
          </w:p>
        </w:tc>
        <w:tc>
          <w:tcPr>
            <w:tcW w:w="1559" w:type="dxa"/>
            <w:tcBorders>
              <w:top w:val="nil"/>
              <w:left w:val="single" w:sz="4" w:space="0" w:color="FFFFFF" w:themeColor="background1"/>
              <w:bottom w:val="nil"/>
              <w:right w:val="single" w:sz="4" w:space="0" w:color="FFFFFF" w:themeColor="background1"/>
            </w:tcBorders>
            <w:vAlign w:val="bottom"/>
          </w:tcPr>
          <w:p w14:paraId="79A07394" w14:textId="7AEE94A9" w:rsidR="008F1551" w:rsidRPr="008F1551" w:rsidRDefault="002D3E99" w:rsidP="008F1551">
            <w:pPr>
              <w:tabs>
                <w:tab w:val="decimal" w:pos="964"/>
              </w:tabs>
              <w:ind w:left="-113"/>
              <w:jc w:val="right"/>
              <w:rPr>
                <w:color w:val="000000"/>
                <w:sz w:val="18"/>
                <w:szCs w:val="18"/>
              </w:rPr>
            </w:pPr>
            <w:r>
              <w:rPr>
                <w:color w:val="000000"/>
                <w:sz w:val="18"/>
                <w:szCs w:val="18"/>
              </w:rPr>
              <w:t>5,054</w:t>
            </w:r>
          </w:p>
        </w:tc>
        <w:tc>
          <w:tcPr>
            <w:tcW w:w="1361" w:type="dxa"/>
            <w:tcBorders>
              <w:top w:val="nil"/>
              <w:left w:val="single" w:sz="4" w:space="0" w:color="FFFFFF" w:themeColor="background1"/>
              <w:bottom w:val="nil"/>
            </w:tcBorders>
            <w:vAlign w:val="bottom"/>
          </w:tcPr>
          <w:p w14:paraId="1B7EEB61" w14:textId="5256B65D" w:rsidR="008F1551" w:rsidRPr="008F1551" w:rsidRDefault="002D3E99" w:rsidP="008F1551">
            <w:pPr>
              <w:tabs>
                <w:tab w:val="decimal" w:pos="964"/>
              </w:tabs>
              <w:ind w:left="-113"/>
              <w:jc w:val="right"/>
              <w:rPr>
                <w:color w:val="000000"/>
                <w:sz w:val="18"/>
                <w:szCs w:val="18"/>
              </w:rPr>
            </w:pPr>
            <w:r>
              <w:rPr>
                <w:color w:val="000000"/>
                <w:sz w:val="18"/>
                <w:szCs w:val="18"/>
              </w:rPr>
              <w:t>-</w:t>
            </w:r>
          </w:p>
        </w:tc>
      </w:tr>
      <w:tr w:rsidR="008F1551" w:rsidRPr="008F1551" w14:paraId="08D38C93" w14:textId="77777777" w:rsidTr="002D3E99">
        <w:trPr>
          <w:trHeight w:val="297"/>
          <w:jc w:val="center"/>
        </w:trPr>
        <w:tc>
          <w:tcPr>
            <w:tcW w:w="3119" w:type="dxa"/>
            <w:tcBorders>
              <w:top w:val="nil"/>
              <w:bottom w:val="single" w:sz="4" w:space="0" w:color="auto"/>
            </w:tcBorders>
            <w:vAlign w:val="bottom"/>
          </w:tcPr>
          <w:p w14:paraId="46C9DE9F" w14:textId="71B8B4F5" w:rsidR="008F1551" w:rsidRPr="008F1551" w:rsidRDefault="008F1551" w:rsidP="00DC7046">
            <w:pPr>
              <w:pStyle w:val="Footer"/>
              <w:ind w:left="5" w:right="-113" w:hanging="113"/>
              <w:rPr>
                <w:rFonts w:cs="Arial"/>
                <w:sz w:val="18"/>
                <w:szCs w:val="18"/>
              </w:rPr>
            </w:pPr>
            <w:r>
              <w:rPr>
                <w:sz w:val="18"/>
                <w:szCs w:val="18"/>
              </w:rPr>
              <w:t>Dividends declared</w:t>
            </w:r>
          </w:p>
        </w:tc>
        <w:tc>
          <w:tcPr>
            <w:tcW w:w="992" w:type="dxa"/>
            <w:tcBorders>
              <w:top w:val="nil"/>
              <w:bottom w:val="single" w:sz="4" w:space="0" w:color="auto"/>
            </w:tcBorders>
            <w:vAlign w:val="bottom"/>
          </w:tcPr>
          <w:p w14:paraId="29F44DCC" w14:textId="78FB3A51" w:rsidR="008F1551" w:rsidRPr="008F1551" w:rsidRDefault="008F1551" w:rsidP="008F1551">
            <w:pPr>
              <w:tabs>
                <w:tab w:val="decimal" w:pos="964"/>
              </w:tabs>
              <w:ind w:left="-113"/>
              <w:jc w:val="right"/>
              <w:rPr>
                <w:color w:val="000000"/>
                <w:sz w:val="18"/>
                <w:szCs w:val="18"/>
              </w:rPr>
            </w:pPr>
          </w:p>
        </w:tc>
        <w:tc>
          <w:tcPr>
            <w:tcW w:w="1247" w:type="dxa"/>
            <w:tcBorders>
              <w:top w:val="nil"/>
              <w:left w:val="single" w:sz="4" w:space="0" w:color="FFFFFF" w:themeColor="background1"/>
              <w:bottom w:val="single" w:sz="4" w:space="0" w:color="auto"/>
              <w:right w:val="single" w:sz="4" w:space="0" w:color="FFFFFF" w:themeColor="background1"/>
            </w:tcBorders>
            <w:vAlign w:val="bottom"/>
          </w:tcPr>
          <w:p w14:paraId="4F7CDBE8" w14:textId="3666617C" w:rsidR="008F1551" w:rsidRPr="008F1551" w:rsidRDefault="00DC7046" w:rsidP="008F1551">
            <w:pPr>
              <w:tabs>
                <w:tab w:val="decimal" w:pos="964"/>
              </w:tabs>
              <w:ind w:left="-113"/>
              <w:jc w:val="right"/>
              <w:rPr>
                <w:rFonts w:cs="Arial"/>
                <w:bCs/>
                <w:color w:val="000000"/>
                <w:sz w:val="18"/>
                <w:szCs w:val="18"/>
              </w:rPr>
            </w:pPr>
            <w:r>
              <w:rPr>
                <w:rFonts w:cs="Arial"/>
                <w:bCs/>
                <w:color w:val="000000"/>
                <w:sz w:val="18"/>
                <w:szCs w:val="18"/>
              </w:rPr>
              <w:t>-</w:t>
            </w:r>
          </w:p>
        </w:tc>
        <w:tc>
          <w:tcPr>
            <w:tcW w:w="1191" w:type="dxa"/>
            <w:tcBorders>
              <w:top w:val="nil"/>
              <w:left w:val="single" w:sz="4" w:space="0" w:color="FFFFFF" w:themeColor="background1"/>
              <w:bottom w:val="single" w:sz="4" w:space="0" w:color="auto"/>
              <w:right w:val="single" w:sz="4" w:space="0" w:color="FFFFFF" w:themeColor="background1"/>
            </w:tcBorders>
            <w:vAlign w:val="bottom"/>
          </w:tcPr>
          <w:p w14:paraId="67E49A44" w14:textId="10B699C2" w:rsidR="008F1551" w:rsidRPr="008F1551" w:rsidRDefault="00DC7046" w:rsidP="008F1551">
            <w:pPr>
              <w:tabs>
                <w:tab w:val="decimal" w:pos="964"/>
              </w:tabs>
              <w:ind w:left="-113"/>
              <w:jc w:val="right"/>
              <w:rPr>
                <w:color w:val="000000"/>
                <w:sz w:val="18"/>
                <w:szCs w:val="18"/>
              </w:rPr>
            </w:pPr>
            <w:r>
              <w:rPr>
                <w:color w:val="000000"/>
                <w:sz w:val="18"/>
                <w:szCs w:val="18"/>
              </w:rPr>
              <w:t>-</w:t>
            </w:r>
          </w:p>
        </w:tc>
        <w:tc>
          <w:tcPr>
            <w:tcW w:w="1559" w:type="dxa"/>
            <w:tcBorders>
              <w:top w:val="nil"/>
              <w:left w:val="single" w:sz="4" w:space="0" w:color="FFFFFF" w:themeColor="background1"/>
              <w:bottom w:val="single" w:sz="4" w:space="0" w:color="auto"/>
              <w:right w:val="single" w:sz="4" w:space="0" w:color="FFFFFF" w:themeColor="background1"/>
            </w:tcBorders>
            <w:vAlign w:val="bottom"/>
          </w:tcPr>
          <w:p w14:paraId="37B64E91" w14:textId="4835546F" w:rsidR="008F1551" w:rsidRPr="008F1551" w:rsidRDefault="00DC7046" w:rsidP="008F1551">
            <w:pPr>
              <w:tabs>
                <w:tab w:val="decimal" w:pos="964"/>
              </w:tabs>
              <w:ind w:left="-113"/>
              <w:jc w:val="right"/>
              <w:rPr>
                <w:color w:val="000000"/>
                <w:sz w:val="18"/>
                <w:szCs w:val="18"/>
              </w:rPr>
            </w:pPr>
            <w:r>
              <w:rPr>
                <w:color w:val="000000"/>
                <w:sz w:val="18"/>
                <w:szCs w:val="18"/>
              </w:rPr>
              <w:t>-</w:t>
            </w:r>
          </w:p>
        </w:tc>
        <w:tc>
          <w:tcPr>
            <w:tcW w:w="1361" w:type="dxa"/>
            <w:tcBorders>
              <w:top w:val="nil"/>
              <w:left w:val="single" w:sz="4" w:space="0" w:color="FFFFFF" w:themeColor="background1"/>
              <w:bottom w:val="single" w:sz="4" w:space="0" w:color="auto"/>
            </w:tcBorders>
            <w:vAlign w:val="bottom"/>
          </w:tcPr>
          <w:p w14:paraId="040D2F13" w14:textId="40F4FF90" w:rsidR="008F1551" w:rsidRPr="008F1551" w:rsidRDefault="00DC7046" w:rsidP="008F1551">
            <w:pPr>
              <w:tabs>
                <w:tab w:val="decimal" w:pos="964"/>
              </w:tabs>
              <w:ind w:left="-113"/>
              <w:jc w:val="right"/>
              <w:rPr>
                <w:rFonts w:cs="Arial"/>
                <w:bCs/>
                <w:color w:val="000000"/>
                <w:sz w:val="18"/>
                <w:szCs w:val="18"/>
              </w:rPr>
            </w:pPr>
            <w:r>
              <w:rPr>
                <w:rFonts w:cs="Arial"/>
                <w:bCs/>
                <w:color w:val="000000"/>
                <w:sz w:val="18"/>
                <w:szCs w:val="18"/>
              </w:rPr>
              <w:t>-</w:t>
            </w:r>
          </w:p>
        </w:tc>
      </w:tr>
      <w:tr w:rsidR="008F1551" w:rsidRPr="008F1551" w14:paraId="21AE101C" w14:textId="77777777" w:rsidTr="004D7FF6">
        <w:trPr>
          <w:trHeight w:val="297"/>
          <w:jc w:val="center"/>
        </w:trPr>
        <w:tc>
          <w:tcPr>
            <w:tcW w:w="3119" w:type="dxa"/>
            <w:tcBorders>
              <w:top w:val="single" w:sz="4" w:space="0" w:color="auto"/>
              <w:bottom w:val="double" w:sz="4" w:space="0" w:color="auto"/>
            </w:tcBorders>
            <w:vAlign w:val="bottom"/>
          </w:tcPr>
          <w:p w14:paraId="4C09BA21" w14:textId="77777777" w:rsidR="008F1551" w:rsidRPr="002D3E99" w:rsidRDefault="008F1551" w:rsidP="00DC7046">
            <w:pPr>
              <w:pStyle w:val="Footer"/>
              <w:ind w:left="5" w:right="-113" w:hanging="113"/>
              <w:rPr>
                <w:rFonts w:cs="Arial"/>
                <w:b/>
                <w:sz w:val="18"/>
                <w:szCs w:val="18"/>
              </w:rPr>
            </w:pPr>
            <w:bookmarkStart w:id="10" w:name="_Hlk515452486"/>
            <w:r w:rsidRPr="002D3E99">
              <w:rPr>
                <w:b/>
                <w:sz w:val="18"/>
                <w:szCs w:val="18"/>
              </w:rPr>
              <w:t xml:space="preserve">As of </w:t>
            </w:r>
            <w:proofErr w:type="gramStart"/>
            <w:r w:rsidRPr="002D3E99">
              <w:rPr>
                <w:b/>
                <w:sz w:val="18"/>
                <w:szCs w:val="18"/>
              </w:rPr>
              <w:t>31 December</w:t>
            </w:r>
            <w:proofErr w:type="gramEnd"/>
            <w:r w:rsidRPr="002D3E99">
              <w:rPr>
                <w:b/>
                <w:sz w:val="18"/>
                <w:szCs w:val="18"/>
              </w:rPr>
              <w:t xml:space="preserve"> 2018</w:t>
            </w:r>
          </w:p>
        </w:tc>
        <w:tc>
          <w:tcPr>
            <w:tcW w:w="992" w:type="dxa"/>
            <w:tcBorders>
              <w:top w:val="single" w:sz="4" w:space="0" w:color="auto"/>
              <w:bottom w:val="double" w:sz="4" w:space="0" w:color="auto"/>
            </w:tcBorders>
            <w:vAlign w:val="bottom"/>
          </w:tcPr>
          <w:p w14:paraId="35C6E884" w14:textId="77777777" w:rsidR="008F1551" w:rsidRPr="002D3E99" w:rsidRDefault="008F1551" w:rsidP="008F1551">
            <w:pPr>
              <w:tabs>
                <w:tab w:val="decimal" w:pos="964"/>
              </w:tabs>
              <w:ind w:left="-113"/>
              <w:jc w:val="right"/>
              <w:rPr>
                <w:b/>
                <w:color w:val="000000"/>
                <w:sz w:val="18"/>
                <w:szCs w:val="18"/>
              </w:rPr>
            </w:pPr>
          </w:p>
        </w:tc>
        <w:tc>
          <w:tcPr>
            <w:tcW w:w="1247" w:type="dxa"/>
            <w:tcBorders>
              <w:top w:val="single" w:sz="4" w:space="0" w:color="auto"/>
              <w:left w:val="single" w:sz="4" w:space="0" w:color="FFFFFF" w:themeColor="background1"/>
              <w:bottom w:val="double" w:sz="4" w:space="0" w:color="auto"/>
              <w:right w:val="single" w:sz="4" w:space="0" w:color="FFFFFF" w:themeColor="background1"/>
            </w:tcBorders>
            <w:vAlign w:val="bottom"/>
          </w:tcPr>
          <w:p w14:paraId="6D713F21" w14:textId="294243A9" w:rsidR="008F1551" w:rsidRPr="00CB3AFD" w:rsidRDefault="00DC7046" w:rsidP="008F1551">
            <w:pPr>
              <w:tabs>
                <w:tab w:val="decimal" w:pos="964"/>
              </w:tabs>
              <w:ind w:left="-113"/>
              <w:jc w:val="right"/>
              <w:rPr>
                <w:rFonts w:cs="Arial"/>
                <w:bCs/>
                <w:color w:val="000000"/>
                <w:sz w:val="18"/>
                <w:szCs w:val="18"/>
              </w:rPr>
            </w:pPr>
            <w:r w:rsidRPr="00CB3AFD">
              <w:rPr>
                <w:rFonts w:cs="Arial"/>
                <w:bCs/>
                <w:color w:val="000000"/>
                <w:sz w:val="18"/>
                <w:szCs w:val="18"/>
              </w:rPr>
              <w:t>10,005,250</w:t>
            </w:r>
          </w:p>
        </w:tc>
        <w:tc>
          <w:tcPr>
            <w:tcW w:w="1191" w:type="dxa"/>
            <w:tcBorders>
              <w:top w:val="single" w:sz="4" w:space="0" w:color="auto"/>
              <w:left w:val="single" w:sz="4" w:space="0" w:color="FFFFFF" w:themeColor="background1"/>
              <w:bottom w:val="double" w:sz="4" w:space="0" w:color="auto"/>
              <w:right w:val="single" w:sz="4" w:space="0" w:color="FFFFFF" w:themeColor="background1"/>
            </w:tcBorders>
            <w:vAlign w:val="bottom"/>
          </w:tcPr>
          <w:p w14:paraId="0B231F91" w14:textId="7E320F56" w:rsidR="008F1551" w:rsidRPr="00CB3AFD" w:rsidRDefault="00DC7046" w:rsidP="008F1551">
            <w:pPr>
              <w:tabs>
                <w:tab w:val="decimal" w:pos="964"/>
              </w:tabs>
              <w:ind w:left="-113"/>
              <w:jc w:val="right"/>
              <w:rPr>
                <w:bCs/>
                <w:color w:val="000000"/>
                <w:sz w:val="18"/>
                <w:szCs w:val="18"/>
              </w:rPr>
            </w:pPr>
            <w:r w:rsidRPr="00CB3AFD">
              <w:rPr>
                <w:bCs/>
                <w:color w:val="000000"/>
                <w:sz w:val="18"/>
                <w:szCs w:val="18"/>
              </w:rPr>
              <w:t>66,820</w:t>
            </w:r>
          </w:p>
        </w:tc>
        <w:tc>
          <w:tcPr>
            <w:tcW w:w="1559" w:type="dxa"/>
            <w:tcBorders>
              <w:top w:val="single" w:sz="4" w:space="0" w:color="auto"/>
              <w:left w:val="single" w:sz="4" w:space="0" w:color="FFFFFF" w:themeColor="background1"/>
              <w:bottom w:val="double" w:sz="4" w:space="0" w:color="auto"/>
              <w:right w:val="single" w:sz="4" w:space="0" w:color="FFFFFF" w:themeColor="background1"/>
            </w:tcBorders>
            <w:vAlign w:val="bottom"/>
          </w:tcPr>
          <w:p w14:paraId="48253484" w14:textId="038A05F5" w:rsidR="008F1551" w:rsidRPr="00CB3AFD" w:rsidRDefault="00DC7046" w:rsidP="008F1551">
            <w:pPr>
              <w:tabs>
                <w:tab w:val="decimal" w:pos="964"/>
              </w:tabs>
              <w:ind w:left="-113"/>
              <w:jc w:val="right"/>
              <w:rPr>
                <w:bCs/>
                <w:color w:val="000000"/>
                <w:sz w:val="18"/>
                <w:szCs w:val="18"/>
              </w:rPr>
            </w:pPr>
            <w:r w:rsidRPr="00CB3AFD">
              <w:rPr>
                <w:bCs/>
                <w:color w:val="000000"/>
                <w:sz w:val="18"/>
                <w:szCs w:val="18"/>
              </w:rPr>
              <w:t>2,085,874</w:t>
            </w:r>
          </w:p>
        </w:tc>
        <w:tc>
          <w:tcPr>
            <w:tcW w:w="1361" w:type="dxa"/>
            <w:tcBorders>
              <w:top w:val="single" w:sz="4" w:space="0" w:color="auto"/>
              <w:left w:val="single" w:sz="4" w:space="0" w:color="FFFFFF" w:themeColor="background1"/>
              <w:bottom w:val="double" w:sz="4" w:space="0" w:color="auto"/>
            </w:tcBorders>
            <w:vAlign w:val="bottom"/>
          </w:tcPr>
          <w:p w14:paraId="2C8FBF63" w14:textId="04B29326" w:rsidR="008F1551" w:rsidRPr="00CB3AFD" w:rsidRDefault="00DC7046" w:rsidP="008F1551">
            <w:pPr>
              <w:tabs>
                <w:tab w:val="decimal" w:pos="964"/>
              </w:tabs>
              <w:ind w:left="-113"/>
              <w:jc w:val="right"/>
              <w:rPr>
                <w:rFonts w:cs="Arial"/>
                <w:bCs/>
                <w:color w:val="000000"/>
                <w:sz w:val="18"/>
                <w:szCs w:val="18"/>
              </w:rPr>
            </w:pPr>
            <w:r w:rsidRPr="00CB3AFD">
              <w:rPr>
                <w:rFonts w:cs="Arial"/>
                <w:bCs/>
                <w:color w:val="000000"/>
                <w:sz w:val="18"/>
                <w:szCs w:val="18"/>
              </w:rPr>
              <w:t>12,157,944</w:t>
            </w:r>
          </w:p>
        </w:tc>
      </w:tr>
      <w:tr w:rsidR="004D7FF6" w:rsidRPr="008F1551" w14:paraId="24B9AB7A" w14:textId="77777777" w:rsidTr="00CB3AFD">
        <w:trPr>
          <w:trHeight w:val="502"/>
          <w:jc w:val="center"/>
        </w:trPr>
        <w:tc>
          <w:tcPr>
            <w:tcW w:w="3119" w:type="dxa"/>
            <w:tcBorders>
              <w:top w:val="double" w:sz="4" w:space="0" w:color="auto"/>
              <w:bottom w:val="single" w:sz="4" w:space="0" w:color="auto"/>
            </w:tcBorders>
            <w:vAlign w:val="bottom"/>
          </w:tcPr>
          <w:p w14:paraId="02A5F10B" w14:textId="6B9D603E" w:rsidR="004D7FF6" w:rsidRPr="008F1551" w:rsidRDefault="00CB3AFD" w:rsidP="00DC7046">
            <w:pPr>
              <w:pStyle w:val="Footer"/>
              <w:ind w:left="5" w:right="-113" w:hanging="113"/>
              <w:rPr>
                <w:b/>
                <w:sz w:val="18"/>
                <w:szCs w:val="18"/>
              </w:rPr>
            </w:pPr>
            <w:r w:rsidRPr="00CB3AFD">
              <w:rPr>
                <w:b/>
                <w:sz w:val="18"/>
                <w:szCs w:val="18"/>
              </w:rPr>
              <w:t>The effect of a change in accounting policy</w:t>
            </w:r>
            <w:r>
              <w:rPr>
                <w:b/>
                <w:sz w:val="18"/>
                <w:szCs w:val="18"/>
              </w:rPr>
              <w:t xml:space="preserve"> (IFRS 16 “Lease”)</w:t>
            </w:r>
          </w:p>
        </w:tc>
        <w:tc>
          <w:tcPr>
            <w:tcW w:w="992" w:type="dxa"/>
            <w:tcBorders>
              <w:top w:val="double" w:sz="4" w:space="0" w:color="auto"/>
              <w:bottom w:val="single" w:sz="4" w:space="0" w:color="auto"/>
            </w:tcBorders>
            <w:vAlign w:val="bottom"/>
          </w:tcPr>
          <w:p w14:paraId="331CDFBB" w14:textId="77777777" w:rsidR="004D7FF6" w:rsidRPr="00CB3AFD" w:rsidRDefault="004D7FF6" w:rsidP="008F1551">
            <w:pPr>
              <w:tabs>
                <w:tab w:val="decimal" w:pos="964"/>
              </w:tabs>
              <w:ind w:left="-113"/>
              <w:jc w:val="right"/>
              <w:rPr>
                <w:rFonts w:cs="Arial"/>
                <w:b/>
                <w:sz w:val="18"/>
                <w:szCs w:val="18"/>
              </w:rPr>
            </w:pPr>
          </w:p>
        </w:tc>
        <w:tc>
          <w:tcPr>
            <w:tcW w:w="1247" w:type="dxa"/>
            <w:tcBorders>
              <w:top w:val="double" w:sz="4" w:space="0" w:color="auto"/>
              <w:left w:val="single" w:sz="4" w:space="0" w:color="FFFFFF" w:themeColor="background1"/>
              <w:bottom w:val="single" w:sz="4" w:space="0" w:color="auto"/>
              <w:right w:val="single" w:sz="4" w:space="0" w:color="FFFFFF" w:themeColor="background1"/>
            </w:tcBorders>
            <w:vAlign w:val="bottom"/>
          </w:tcPr>
          <w:p w14:paraId="75BFCD45" w14:textId="0F822542" w:rsidR="004D7FF6" w:rsidRPr="00CB3AFD" w:rsidRDefault="00CB3AFD" w:rsidP="008F1551">
            <w:pPr>
              <w:tabs>
                <w:tab w:val="decimal" w:pos="964"/>
              </w:tabs>
              <w:ind w:left="-113"/>
              <w:jc w:val="right"/>
              <w:rPr>
                <w:rFonts w:cs="Arial"/>
                <w:b/>
                <w:sz w:val="18"/>
                <w:szCs w:val="18"/>
              </w:rPr>
            </w:pPr>
            <w:r>
              <w:rPr>
                <w:rFonts w:cs="Arial"/>
                <w:b/>
                <w:sz w:val="18"/>
                <w:szCs w:val="18"/>
              </w:rPr>
              <w:t>-</w:t>
            </w:r>
          </w:p>
        </w:tc>
        <w:tc>
          <w:tcPr>
            <w:tcW w:w="1191" w:type="dxa"/>
            <w:tcBorders>
              <w:top w:val="double" w:sz="4" w:space="0" w:color="auto"/>
              <w:left w:val="single" w:sz="4" w:space="0" w:color="FFFFFF" w:themeColor="background1"/>
              <w:bottom w:val="single" w:sz="4" w:space="0" w:color="auto"/>
              <w:right w:val="single" w:sz="4" w:space="0" w:color="FFFFFF" w:themeColor="background1"/>
            </w:tcBorders>
            <w:vAlign w:val="bottom"/>
          </w:tcPr>
          <w:p w14:paraId="5A32B3B8" w14:textId="0EDC1CD6" w:rsidR="004D7FF6" w:rsidRPr="00CB3AFD" w:rsidRDefault="00CB3AFD" w:rsidP="008F1551">
            <w:pPr>
              <w:tabs>
                <w:tab w:val="decimal" w:pos="964"/>
              </w:tabs>
              <w:ind w:left="-113"/>
              <w:jc w:val="right"/>
              <w:rPr>
                <w:rFonts w:cs="Arial"/>
                <w:b/>
                <w:sz w:val="18"/>
                <w:szCs w:val="18"/>
              </w:rPr>
            </w:pPr>
            <w:r>
              <w:rPr>
                <w:rFonts w:cs="Arial"/>
                <w:b/>
                <w:sz w:val="18"/>
                <w:szCs w:val="18"/>
              </w:rPr>
              <w:t>-</w:t>
            </w:r>
          </w:p>
        </w:tc>
        <w:tc>
          <w:tcPr>
            <w:tcW w:w="1559" w:type="dxa"/>
            <w:tcBorders>
              <w:top w:val="double" w:sz="4" w:space="0" w:color="auto"/>
              <w:left w:val="single" w:sz="4" w:space="0" w:color="FFFFFF" w:themeColor="background1"/>
              <w:bottom w:val="single" w:sz="4" w:space="0" w:color="auto"/>
              <w:right w:val="single" w:sz="4" w:space="0" w:color="FFFFFF" w:themeColor="background1"/>
            </w:tcBorders>
            <w:vAlign w:val="bottom"/>
          </w:tcPr>
          <w:p w14:paraId="66258A29" w14:textId="7589AFC4" w:rsidR="004D7FF6" w:rsidRPr="00CB3AFD" w:rsidRDefault="00CB3AFD" w:rsidP="008F1551">
            <w:pPr>
              <w:tabs>
                <w:tab w:val="decimal" w:pos="964"/>
              </w:tabs>
              <w:ind w:left="-113"/>
              <w:jc w:val="right"/>
              <w:rPr>
                <w:rFonts w:cs="Arial"/>
                <w:b/>
                <w:sz w:val="18"/>
                <w:szCs w:val="18"/>
              </w:rPr>
            </w:pPr>
            <w:r>
              <w:rPr>
                <w:rFonts w:cs="Arial"/>
                <w:b/>
                <w:sz w:val="18"/>
                <w:szCs w:val="18"/>
              </w:rPr>
              <w:t>(8,923)</w:t>
            </w:r>
          </w:p>
        </w:tc>
        <w:tc>
          <w:tcPr>
            <w:tcW w:w="1361" w:type="dxa"/>
            <w:tcBorders>
              <w:top w:val="double" w:sz="4" w:space="0" w:color="auto"/>
              <w:left w:val="single" w:sz="4" w:space="0" w:color="FFFFFF" w:themeColor="background1"/>
              <w:bottom w:val="single" w:sz="4" w:space="0" w:color="auto"/>
            </w:tcBorders>
            <w:vAlign w:val="bottom"/>
          </w:tcPr>
          <w:p w14:paraId="49322B73" w14:textId="0EA19330" w:rsidR="004D7FF6" w:rsidRPr="00CB3AFD" w:rsidRDefault="00CB3AFD" w:rsidP="008F1551">
            <w:pPr>
              <w:tabs>
                <w:tab w:val="decimal" w:pos="964"/>
              </w:tabs>
              <w:ind w:left="-113"/>
              <w:jc w:val="right"/>
              <w:rPr>
                <w:rFonts w:cs="Arial"/>
                <w:b/>
                <w:sz w:val="18"/>
                <w:szCs w:val="18"/>
              </w:rPr>
            </w:pPr>
            <w:r>
              <w:rPr>
                <w:rFonts w:cs="Arial"/>
                <w:b/>
                <w:sz w:val="18"/>
                <w:szCs w:val="18"/>
              </w:rPr>
              <w:t>(8,923)</w:t>
            </w:r>
          </w:p>
        </w:tc>
      </w:tr>
      <w:tr w:rsidR="004D7FF6" w:rsidRPr="008F1551" w14:paraId="32BA428E" w14:textId="77777777" w:rsidTr="00CB3AFD">
        <w:trPr>
          <w:trHeight w:val="359"/>
          <w:jc w:val="center"/>
        </w:trPr>
        <w:tc>
          <w:tcPr>
            <w:tcW w:w="3119" w:type="dxa"/>
            <w:tcBorders>
              <w:top w:val="single" w:sz="4" w:space="0" w:color="auto"/>
              <w:bottom w:val="nil"/>
            </w:tcBorders>
            <w:vAlign w:val="bottom"/>
          </w:tcPr>
          <w:p w14:paraId="2ADAF922" w14:textId="0FC22D4B" w:rsidR="004D7FF6" w:rsidRPr="008F1551" w:rsidRDefault="00CB3AFD" w:rsidP="00DC7046">
            <w:pPr>
              <w:pStyle w:val="Footer"/>
              <w:ind w:left="5" w:right="-113" w:hanging="113"/>
              <w:rPr>
                <w:b/>
                <w:sz w:val="18"/>
                <w:szCs w:val="18"/>
              </w:rPr>
            </w:pPr>
            <w:r>
              <w:rPr>
                <w:b/>
                <w:sz w:val="18"/>
                <w:szCs w:val="18"/>
              </w:rPr>
              <w:t xml:space="preserve">As of </w:t>
            </w:r>
            <w:proofErr w:type="gramStart"/>
            <w:r>
              <w:rPr>
                <w:b/>
                <w:sz w:val="18"/>
                <w:szCs w:val="18"/>
              </w:rPr>
              <w:t>1 January</w:t>
            </w:r>
            <w:proofErr w:type="gramEnd"/>
            <w:r>
              <w:rPr>
                <w:b/>
                <w:sz w:val="18"/>
                <w:szCs w:val="18"/>
              </w:rPr>
              <w:t xml:space="preserve"> 2019</w:t>
            </w:r>
          </w:p>
        </w:tc>
        <w:tc>
          <w:tcPr>
            <w:tcW w:w="992" w:type="dxa"/>
            <w:tcBorders>
              <w:top w:val="single" w:sz="4" w:space="0" w:color="auto"/>
              <w:bottom w:val="nil"/>
            </w:tcBorders>
            <w:vAlign w:val="bottom"/>
          </w:tcPr>
          <w:p w14:paraId="2D945A3B" w14:textId="77777777" w:rsidR="004D7FF6" w:rsidRPr="00CB3AFD" w:rsidRDefault="004D7FF6" w:rsidP="008F1551">
            <w:pPr>
              <w:tabs>
                <w:tab w:val="decimal" w:pos="964"/>
              </w:tabs>
              <w:ind w:left="-113"/>
              <w:jc w:val="right"/>
              <w:rPr>
                <w:rFonts w:cs="Arial"/>
                <w:b/>
                <w:sz w:val="18"/>
                <w:szCs w:val="18"/>
              </w:rPr>
            </w:pPr>
          </w:p>
        </w:tc>
        <w:tc>
          <w:tcPr>
            <w:tcW w:w="1247" w:type="dxa"/>
            <w:tcBorders>
              <w:top w:val="single" w:sz="4" w:space="0" w:color="auto"/>
              <w:left w:val="single" w:sz="4" w:space="0" w:color="FFFFFF" w:themeColor="background1"/>
              <w:bottom w:val="nil"/>
              <w:right w:val="single" w:sz="4" w:space="0" w:color="FFFFFF" w:themeColor="background1"/>
            </w:tcBorders>
            <w:vAlign w:val="bottom"/>
          </w:tcPr>
          <w:p w14:paraId="2F564AD9" w14:textId="0B3BB612" w:rsidR="004D7FF6" w:rsidRPr="00CB3AFD" w:rsidRDefault="00CB3AFD" w:rsidP="008F1551">
            <w:pPr>
              <w:tabs>
                <w:tab w:val="decimal" w:pos="964"/>
              </w:tabs>
              <w:ind w:left="-113"/>
              <w:jc w:val="right"/>
              <w:rPr>
                <w:rFonts w:cs="Arial"/>
                <w:b/>
                <w:sz w:val="18"/>
                <w:szCs w:val="18"/>
              </w:rPr>
            </w:pPr>
            <w:r>
              <w:rPr>
                <w:rFonts w:cs="Arial"/>
                <w:b/>
                <w:sz w:val="18"/>
                <w:szCs w:val="18"/>
              </w:rPr>
              <w:t>10,005,250</w:t>
            </w:r>
          </w:p>
        </w:tc>
        <w:tc>
          <w:tcPr>
            <w:tcW w:w="1191" w:type="dxa"/>
            <w:tcBorders>
              <w:top w:val="single" w:sz="4" w:space="0" w:color="auto"/>
              <w:left w:val="single" w:sz="4" w:space="0" w:color="FFFFFF" w:themeColor="background1"/>
              <w:bottom w:val="nil"/>
              <w:right w:val="single" w:sz="4" w:space="0" w:color="FFFFFF" w:themeColor="background1"/>
            </w:tcBorders>
            <w:vAlign w:val="bottom"/>
          </w:tcPr>
          <w:p w14:paraId="1C823044" w14:textId="5D724020" w:rsidR="004D7FF6" w:rsidRPr="00CB3AFD" w:rsidRDefault="00CB3AFD" w:rsidP="008F1551">
            <w:pPr>
              <w:tabs>
                <w:tab w:val="decimal" w:pos="964"/>
              </w:tabs>
              <w:ind w:left="-113"/>
              <w:jc w:val="right"/>
              <w:rPr>
                <w:rFonts w:cs="Arial"/>
                <w:b/>
                <w:sz w:val="18"/>
                <w:szCs w:val="18"/>
              </w:rPr>
            </w:pPr>
            <w:r>
              <w:rPr>
                <w:rFonts w:cs="Arial"/>
                <w:b/>
                <w:sz w:val="18"/>
                <w:szCs w:val="18"/>
              </w:rPr>
              <w:t>66,820</w:t>
            </w:r>
          </w:p>
        </w:tc>
        <w:tc>
          <w:tcPr>
            <w:tcW w:w="1559" w:type="dxa"/>
            <w:tcBorders>
              <w:top w:val="single" w:sz="4" w:space="0" w:color="auto"/>
              <w:left w:val="single" w:sz="4" w:space="0" w:color="FFFFFF" w:themeColor="background1"/>
              <w:bottom w:val="nil"/>
              <w:right w:val="single" w:sz="4" w:space="0" w:color="FFFFFF" w:themeColor="background1"/>
            </w:tcBorders>
            <w:vAlign w:val="bottom"/>
          </w:tcPr>
          <w:p w14:paraId="4982547A" w14:textId="36216898" w:rsidR="004D7FF6" w:rsidRPr="00CB3AFD" w:rsidRDefault="003E68E4" w:rsidP="008F1551">
            <w:pPr>
              <w:tabs>
                <w:tab w:val="decimal" w:pos="964"/>
              </w:tabs>
              <w:ind w:left="-113"/>
              <w:jc w:val="right"/>
              <w:rPr>
                <w:rFonts w:cs="Arial"/>
                <w:b/>
                <w:sz w:val="18"/>
                <w:szCs w:val="18"/>
              </w:rPr>
            </w:pPr>
            <w:r>
              <w:rPr>
                <w:rFonts w:cs="Arial"/>
                <w:b/>
                <w:sz w:val="18"/>
                <w:szCs w:val="18"/>
              </w:rPr>
              <w:t>2,076,951</w:t>
            </w:r>
          </w:p>
        </w:tc>
        <w:tc>
          <w:tcPr>
            <w:tcW w:w="1361" w:type="dxa"/>
            <w:tcBorders>
              <w:top w:val="single" w:sz="4" w:space="0" w:color="auto"/>
              <w:left w:val="single" w:sz="4" w:space="0" w:color="FFFFFF" w:themeColor="background1"/>
              <w:bottom w:val="nil"/>
            </w:tcBorders>
            <w:vAlign w:val="bottom"/>
          </w:tcPr>
          <w:p w14:paraId="27EFB9DE" w14:textId="161CF3F0" w:rsidR="004D7FF6" w:rsidRPr="00CB3AFD" w:rsidRDefault="003E68E4" w:rsidP="008F1551">
            <w:pPr>
              <w:tabs>
                <w:tab w:val="decimal" w:pos="964"/>
              </w:tabs>
              <w:ind w:left="-113"/>
              <w:jc w:val="right"/>
              <w:rPr>
                <w:rFonts w:cs="Arial"/>
                <w:b/>
                <w:sz w:val="18"/>
                <w:szCs w:val="18"/>
              </w:rPr>
            </w:pPr>
            <w:r>
              <w:rPr>
                <w:rFonts w:cs="Arial"/>
                <w:b/>
                <w:sz w:val="18"/>
                <w:szCs w:val="18"/>
              </w:rPr>
              <w:t>12,149,021</w:t>
            </w:r>
          </w:p>
        </w:tc>
      </w:tr>
      <w:bookmarkEnd w:id="10"/>
      <w:tr w:rsidR="008F1551" w:rsidRPr="008F1551" w14:paraId="6BCA52AB" w14:textId="77777777" w:rsidTr="008F1551">
        <w:trPr>
          <w:trHeight w:val="227"/>
          <w:jc w:val="center"/>
        </w:trPr>
        <w:tc>
          <w:tcPr>
            <w:tcW w:w="3119" w:type="dxa"/>
            <w:tcBorders>
              <w:top w:val="double" w:sz="4" w:space="0" w:color="auto"/>
              <w:bottom w:val="nil"/>
            </w:tcBorders>
            <w:vAlign w:val="bottom"/>
          </w:tcPr>
          <w:p w14:paraId="723AF719" w14:textId="77777777" w:rsidR="008F1551" w:rsidRPr="008F1551" w:rsidRDefault="008F1551" w:rsidP="00DC7046">
            <w:pPr>
              <w:pStyle w:val="Footer"/>
              <w:ind w:left="5" w:right="-113" w:hanging="113"/>
              <w:rPr>
                <w:rFonts w:cs="Arial"/>
                <w:b/>
                <w:sz w:val="18"/>
                <w:szCs w:val="18"/>
              </w:rPr>
            </w:pPr>
            <w:r w:rsidRPr="008F1551">
              <w:rPr>
                <w:b/>
                <w:sz w:val="18"/>
                <w:szCs w:val="18"/>
              </w:rPr>
              <w:t xml:space="preserve"> </w:t>
            </w:r>
          </w:p>
        </w:tc>
        <w:tc>
          <w:tcPr>
            <w:tcW w:w="992" w:type="dxa"/>
            <w:tcBorders>
              <w:top w:val="double" w:sz="4" w:space="0" w:color="auto"/>
              <w:bottom w:val="nil"/>
            </w:tcBorders>
            <w:vAlign w:val="bottom"/>
          </w:tcPr>
          <w:p w14:paraId="69582D43" w14:textId="77777777" w:rsidR="008F1551" w:rsidRPr="00CB3AFD" w:rsidRDefault="008F1551" w:rsidP="008F1551">
            <w:pPr>
              <w:tabs>
                <w:tab w:val="decimal" w:pos="964"/>
              </w:tabs>
              <w:ind w:left="-113"/>
              <w:jc w:val="right"/>
              <w:rPr>
                <w:rFonts w:cs="Arial"/>
                <w:b/>
                <w:sz w:val="18"/>
                <w:szCs w:val="18"/>
              </w:rPr>
            </w:pPr>
          </w:p>
        </w:tc>
        <w:tc>
          <w:tcPr>
            <w:tcW w:w="1247" w:type="dxa"/>
            <w:tcBorders>
              <w:top w:val="double" w:sz="4" w:space="0" w:color="auto"/>
              <w:left w:val="single" w:sz="4" w:space="0" w:color="FFFFFF" w:themeColor="background1"/>
              <w:bottom w:val="nil"/>
              <w:right w:val="single" w:sz="4" w:space="0" w:color="FFFFFF" w:themeColor="background1"/>
            </w:tcBorders>
            <w:vAlign w:val="bottom"/>
          </w:tcPr>
          <w:p w14:paraId="653B5AB7" w14:textId="6AEEE1C5" w:rsidR="008F1551" w:rsidRPr="00CB3AFD" w:rsidRDefault="008F1551" w:rsidP="008F1551">
            <w:pPr>
              <w:tabs>
                <w:tab w:val="decimal" w:pos="964"/>
              </w:tabs>
              <w:ind w:left="-113"/>
              <w:jc w:val="right"/>
              <w:rPr>
                <w:rFonts w:cs="Arial"/>
                <w:b/>
                <w:sz w:val="18"/>
                <w:szCs w:val="18"/>
              </w:rPr>
            </w:pPr>
          </w:p>
        </w:tc>
        <w:tc>
          <w:tcPr>
            <w:tcW w:w="1191" w:type="dxa"/>
            <w:tcBorders>
              <w:top w:val="double" w:sz="4" w:space="0" w:color="auto"/>
              <w:left w:val="single" w:sz="4" w:space="0" w:color="FFFFFF" w:themeColor="background1"/>
              <w:bottom w:val="nil"/>
              <w:right w:val="single" w:sz="4" w:space="0" w:color="FFFFFF" w:themeColor="background1"/>
            </w:tcBorders>
            <w:vAlign w:val="bottom"/>
          </w:tcPr>
          <w:p w14:paraId="3F984E31" w14:textId="77777777" w:rsidR="008F1551" w:rsidRPr="00CB3AFD" w:rsidRDefault="008F1551" w:rsidP="008F1551">
            <w:pPr>
              <w:tabs>
                <w:tab w:val="decimal" w:pos="964"/>
              </w:tabs>
              <w:ind w:left="-113"/>
              <w:jc w:val="right"/>
              <w:rPr>
                <w:rFonts w:cs="Arial"/>
                <w:b/>
                <w:sz w:val="18"/>
                <w:szCs w:val="18"/>
              </w:rPr>
            </w:pPr>
          </w:p>
        </w:tc>
        <w:tc>
          <w:tcPr>
            <w:tcW w:w="1559" w:type="dxa"/>
            <w:tcBorders>
              <w:top w:val="double" w:sz="4" w:space="0" w:color="auto"/>
              <w:left w:val="single" w:sz="4" w:space="0" w:color="FFFFFF" w:themeColor="background1"/>
              <w:bottom w:val="nil"/>
              <w:right w:val="single" w:sz="4" w:space="0" w:color="FFFFFF" w:themeColor="background1"/>
            </w:tcBorders>
            <w:vAlign w:val="bottom"/>
          </w:tcPr>
          <w:p w14:paraId="5EEFB10A" w14:textId="0D02CDA8" w:rsidR="008F1551" w:rsidRPr="00CB3AFD" w:rsidRDefault="008F1551" w:rsidP="008F1551">
            <w:pPr>
              <w:tabs>
                <w:tab w:val="decimal" w:pos="964"/>
              </w:tabs>
              <w:ind w:left="-113"/>
              <w:jc w:val="right"/>
              <w:rPr>
                <w:rFonts w:cs="Arial"/>
                <w:b/>
                <w:sz w:val="18"/>
                <w:szCs w:val="18"/>
              </w:rPr>
            </w:pPr>
          </w:p>
        </w:tc>
        <w:tc>
          <w:tcPr>
            <w:tcW w:w="1361" w:type="dxa"/>
            <w:tcBorders>
              <w:top w:val="double" w:sz="4" w:space="0" w:color="auto"/>
              <w:left w:val="single" w:sz="4" w:space="0" w:color="FFFFFF" w:themeColor="background1"/>
              <w:bottom w:val="nil"/>
            </w:tcBorders>
            <w:vAlign w:val="bottom"/>
          </w:tcPr>
          <w:p w14:paraId="31141DDC" w14:textId="3D7C26F7" w:rsidR="008F1551" w:rsidRPr="00CB3AFD" w:rsidRDefault="008F1551" w:rsidP="008F1551">
            <w:pPr>
              <w:tabs>
                <w:tab w:val="decimal" w:pos="964"/>
              </w:tabs>
              <w:ind w:left="-113"/>
              <w:jc w:val="right"/>
              <w:rPr>
                <w:rFonts w:cs="Arial"/>
                <w:b/>
                <w:sz w:val="18"/>
                <w:szCs w:val="18"/>
              </w:rPr>
            </w:pPr>
          </w:p>
        </w:tc>
      </w:tr>
      <w:tr w:rsidR="008F1551" w:rsidRPr="008F1551" w14:paraId="3D1CEE49" w14:textId="77777777" w:rsidTr="008F1551">
        <w:trPr>
          <w:trHeight w:val="227"/>
          <w:jc w:val="center"/>
        </w:trPr>
        <w:tc>
          <w:tcPr>
            <w:tcW w:w="3119" w:type="dxa"/>
            <w:tcBorders>
              <w:top w:val="nil"/>
              <w:bottom w:val="nil"/>
            </w:tcBorders>
            <w:vAlign w:val="bottom"/>
          </w:tcPr>
          <w:p w14:paraId="4BD24A7A" w14:textId="65366CAC" w:rsidR="008F1551" w:rsidRPr="002D3E99" w:rsidRDefault="008F1551" w:rsidP="00DC7046">
            <w:pPr>
              <w:pStyle w:val="Footer"/>
              <w:ind w:left="5" w:right="-113" w:hanging="113"/>
              <w:rPr>
                <w:rFonts w:cs="Arial"/>
                <w:sz w:val="18"/>
                <w:szCs w:val="18"/>
              </w:rPr>
            </w:pPr>
            <w:bookmarkStart w:id="11" w:name="_Hlk515452496"/>
            <w:r w:rsidRPr="002D3E99">
              <w:rPr>
                <w:sz w:val="18"/>
                <w:szCs w:val="18"/>
              </w:rPr>
              <w:t>Net profit for the year</w:t>
            </w:r>
          </w:p>
        </w:tc>
        <w:tc>
          <w:tcPr>
            <w:tcW w:w="992" w:type="dxa"/>
            <w:tcBorders>
              <w:top w:val="nil"/>
              <w:bottom w:val="nil"/>
            </w:tcBorders>
            <w:vAlign w:val="bottom"/>
          </w:tcPr>
          <w:p w14:paraId="3E76B3EE" w14:textId="77777777" w:rsidR="008F1551" w:rsidRPr="002D3E99" w:rsidRDefault="008F1551" w:rsidP="008F1551">
            <w:pPr>
              <w:tabs>
                <w:tab w:val="decimal" w:pos="964"/>
              </w:tabs>
              <w:jc w:val="right"/>
              <w:rPr>
                <w:color w:val="000000"/>
                <w:sz w:val="18"/>
                <w:szCs w:val="18"/>
              </w:rPr>
            </w:pPr>
          </w:p>
        </w:tc>
        <w:tc>
          <w:tcPr>
            <w:tcW w:w="1247" w:type="dxa"/>
            <w:tcBorders>
              <w:top w:val="nil"/>
              <w:left w:val="single" w:sz="4" w:space="0" w:color="FFFFFF" w:themeColor="background1"/>
              <w:bottom w:val="nil"/>
              <w:right w:val="single" w:sz="4" w:space="0" w:color="FFFFFF" w:themeColor="background1"/>
            </w:tcBorders>
            <w:vAlign w:val="bottom"/>
          </w:tcPr>
          <w:p w14:paraId="263B5E99" w14:textId="6C2577B9" w:rsidR="008F1551" w:rsidRPr="002D3E99" w:rsidRDefault="002D3E99" w:rsidP="008F1551">
            <w:pPr>
              <w:tabs>
                <w:tab w:val="decimal" w:pos="964"/>
              </w:tabs>
              <w:jc w:val="right"/>
              <w:rPr>
                <w:rFonts w:cs="Arial"/>
                <w:color w:val="000000"/>
                <w:sz w:val="18"/>
                <w:szCs w:val="18"/>
              </w:rPr>
            </w:pPr>
            <w:r>
              <w:rPr>
                <w:rFonts w:cs="Arial"/>
                <w:color w:val="000000"/>
                <w:sz w:val="18"/>
                <w:szCs w:val="18"/>
              </w:rPr>
              <w:t>-</w:t>
            </w:r>
          </w:p>
        </w:tc>
        <w:tc>
          <w:tcPr>
            <w:tcW w:w="1191" w:type="dxa"/>
            <w:tcBorders>
              <w:top w:val="nil"/>
              <w:left w:val="single" w:sz="4" w:space="0" w:color="FFFFFF" w:themeColor="background1"/>
              <w:bottom w:val="nil"/>
              <w:right w:val="single" w:sz="4" w:space="0" w:color="FFFFFF" w:themeColor="background1"/>
            </w:tcBorders>
            <w:vAlign w:val="bottom"/>
          </w:tcPr>
          <w:p w14:paraId="04FD5875" w14:textId="2DCA1C78" w:rsidR="008F1551" w:rsidRPr="002D3E99" w:rsidRDefault="002D3E99" w:rsidP="008F1551">
            <w:pPr>
              <w:tabs>
                <w:tab w:val="decimal" w:pos="964"/>
              </w:tabs>
              <w:ind w:left="-113"/>
              <w:jc w:val="right"/>
              <w:rPr>
                <w:color w:val="000000"/>
                <w:sz w:val="18"/>
                <w:szCs w:val="18"/>
              </w:rPr>
            </w:pPr>
            <w:r w:rsidRPr="002D3E99">
              <w:rPr>
                <w:color w:val="000000"/>
                <w:sz w:val="18"/>
                <w:szCs w:val="18"/>
              </w:rPr>
              <w:t>-</w:t>
            </w:r>
          </w:p>
        </w:tc>
        <w:tc>
          <w:tcPr>
            <w:tcW w:w="1559" w:type="dxa"/>
            <w:tcBorders>
              <w:top w:val="nil"/>
              <w:left w:val="single" w:sz="4" w:space="0" w:color="FFFFFF" w:themeColor="background1"/>
              <w:bottom w:val="nil"/>
              <w:right w:val="single" w:sz="4" w:space="0" w:color="FFFFFF" w:themeColor="background1"/>
            </w:tcBorders>
            <w:vAlign w:val="bottom"/>
          </w:tcPr>
          <w:p w14:paraId="1FAF3E87" w14:textId="1A350072" w:rsidR="008F1551" w:rsidRPr="002D3E99" w:rsidRDefault="003E68E4" w:rsidP="008F1551">
            <w:pPr>
              <w:tabs>
                <w:tab w:val="decimal" w:pos="964"/>
              </w:tabs>
              <w:ind w:left="-113"/>
              <w:jc w:val="right"/>
              <w:rPr>
                <w:color w:val="000000"/>
                <w:sz w:val="18"/>
                <w:szCs w:val="18"/>
              </w:rPr>
            </w:pPr>
            <w:r>
              <w:rPr>
                <w:color w:val="000000"/>
                <w:sz w:val="18"/>
                <w:szCs w:val="18"/>
              </w:rPr>
              <w:t>1,454,950</w:t>
            </w:r>
          </w:p>
        </w:tc>
        <w:tc>
          <w:tcPr>
            <w:tcW w:w="1361" w:type="dxa"/>
            <w:tcBorders>
              <w:top w:val="nil"/>
              <w:left w:val="single" w:sz="4" w:space="0" w:color="FFFFFF" w:themeColor="background1"/>
              <w:bottom w:val="nil"/>
            </w:tcBorders>
            <w:vAlign w:val="bottom"/>
          </w:tcPr>
          <w:p w14:paraId="4EA8CF13" w14:textId="7132F5D2" w:rsidR="008F1551" w:rsidRPr="002D3E99" w:rsidRDefault="003E68E4" w:rsidP="008F1551">
            <w:pPr>
              <w:tabs>
                <w:tab w:val="decimal" w:pos="964"/>
              </w:tabs>
              <w:ind w:left="-113"/>
              <w:jc w:val="right"/>
              <w:rPr>
                <w:rFonts w:cs="Arial"/>
                <w:color w:val="000000"/>
                <w:sz w:val="18"/>
                <w:szCs w:val="18"/>
              </w:rPr>
            </w:pPr>
            <w:r>
              <w:rPr>
                <w:rFonts w:cs="Arial"/>
                <w:color w:val="000000"/>
                <w:sz w:val="18"/>
                <w:szCs w:val="18"/>
              </w:rPr>
              <w:t>1,454,950</w:t>
            </w:r>
          </w:p>
        </w:tc>
      </w:tr>
      <w:tr w:rsidR="008F1551" w:rsidRPr="008F1551" w14:paraId="0972CA64" w14:textId="77777777" w:rsidTr="002D3E99">
        <w:trPr>
          <w:trHeight w:val="468"/>
          <w:jc w:val="center"/>
        </w:trPr>
        <w:tc>
          <w:tcPr>
            <w:tcW w:w="3119" w:type="dxa"/>
            <w:tcBorders>
              <w:top w:val="nil"/>
              <w:bottom w:val="nil"/>
            </w:tcBorders>
            <w:vAlign w:val="bottom"/>
          </w:tcPr>
          <w:p w14:paraId="38663E2B" w14:textId="6408F739" w:rsidR="008F1551" w:rsidRPr="002D3E99" w:rsidRDefault="008F1551" w:rsidP="00DC7046">
            <w:pPr>
              <w:pStyle w:val="Footer"/>
              <w:ind w:left="5" w:right="-113" w:hanging="113"/>
              <w:rPr>
                <w:sz w:val="18"/>
                <w:szCs w:val="18"/>
              </w:rPr>
            </w:pPr>
            <w:r w:rsidRPr="002D3E99">
              <w:rPr>
                <w:sz w:val="18"/>
                <w:szCs w:val="18"/>
              </w:rPr>
              <w:t>Other comprehensive loss for the year, net of tax</w:t>
            </w:r>
          </w:p>
        </w:tc>
        <w:tc>
          <w:tcPr>
            <w:tcW w:w="992" w:type="dxa"/>
            <w:tcBorders>
              <w:top w:val="nil"/>
              <w:bottom w:val="nil"/>
            </w:tcBorders>
            <w:vAlign w:val="bottom"/>
          </w:tcPr>
          <w:p w14:paraId="456BCAF1" w14:textId="77777777" w:rsidR="008F1551" w:rsidRPr="002D3E99" w:rsidRDefault="008F1551" w:rsidP="008F1551">
            <w:pPr>
              <w:tabs>
                <w:tab w:val="decimal" w:pos="964"/>
              </w:tabs>
              <w:jc w:val="right"/>
              <w:rPr>
                <w:color w:val="000000"/>
                <w:sz w:val="18"/>
                <w:szCs w:val="18"/>
              </w:rPr>
            </w:pPr>
          </w:p>
        </w:tc>
        <w:tc>
          <w:tcPr>
            <w:tcW w:w="1247" w:type="dxa"/>
            <w:tcBorders>
              <w:top w:val="nil"/>
              <w:left w:val="single" w:sz="4" w:space="0" w:color="FFFFFF" w:themeColor="background1"/>
              <w:bottom w:val="nil"/>
              <w:right w:val="single" w:sz="4" w:space="0" w:color="FFFFFF" w:themeColor="background1"/>
            </w:tcBorders>
            <w:vAlign w:val="bottom"/>
          </w:tcPr>
          <w:p w14:paraId="535558CA" w14:textId="746EEB6A" w:rsidR="008F1551" w:rsidRPr="002D3E99" w:rsidRDefault="002D3E99" w:rsidP="008F1551">
            <w:pPr>
              <w:tabs>
                <w:tab w:val="decimal" w:pos="964"/>
              </w:tabs>
              <w:jc w:val="right"/>
              <w:rPr>
                <w:color w:val="000000"/>
                <w:sz w:val="18"/>
                <w:szCs w:val="18"/>
              </w:rPr>
            </w:pPr>
            <w:r>
              <w:rPr>
                <w:color w:val="000000"/>
                <w:sz w:val="18"/>
                <w:szCs w:val="18"/>
              </w:rPr>
              <w:t>-</w:t>
            </w:r>
          </w:p>
        </w:tc>
        <w:tc>
          <w:tcPr>
            <w:tcW w:w="1191" w:type="dxa"/>
            <w:tcBorders>
              <w:top w:val="nil"/>
              <w:left w:val="single" w:sz="4" w:space="0" w:color="FFFFFF" w:themeColor="background1"/>
              <w:bottom w:val="nil"/>
              <w:right w:val="single" w:sz="4" w:space="0" w:color="FFFFFF" w:themeColor="background1"/>
            </w:tcBorders>
            <w:vAlign w:val="bottom"/>
          </w:tcPr>
          <w:p w14:paraId="0C3C240A" w14:textId="467D7111" w:rsidR="008F1551" w:rsidRPr="002D3E99" w:rsidRDefault="002D3E99" w:rsidP="008F1551">
            <w:pPr>
              <w:tabs>
                <w:tab w:val="decimal" w:pos="964"/>
              </w:tabs>
              <w:ind w:left="-113"/>
              <w:jc w:val="right"/>
              <w:rPr>
                <w:color w:val="000000"/>
                <w:sz w:val="18"/>
                <w:szCs w:val="18"/>
              </w:rPr>
            </w:pPr>
            <w:r w:rsidRPr="002D3E99">
              <w:rPr>
                <w:color w:val="000000"/>
                <w:sz w:val="18"/>
                <w:szCs w:val="18"/>
              </w:rPr>
              <w:t>(5,054)</w:t>
            </w:r>
          </w:p>
        </w:tc>
        <w:tc>
          <w:tcPr>
            <w:tcW w:w="1559" w:type="dxa"/>
            <w:tcBorders>
              <w:top w:val="nil"/>
              <w:left w:val="single" w:sz="4" w:space="0" w:color="FFFFFF" w:themeColor="background1"/>
              <w:bottom w:val="nil"/>
              <w:right w:val="single" w:sz="4" w:space="0" w:color="FFFFFF" w:themeColor="background1"/>
            </w:tcBorders>
            <w:vAlign w:val="bottom"/>
          </w:tcPr>
          <w:p w14:paraId="7A3F4143" w14:textId="2312E9E0" w:rsidR="008F1551" w:rsidRPr="002D3E99" w:rsidRDefault="002D3E99" w:rsidP="008F1551">
            <w:pPr>
              <w:tabs>
                <w:tab w:val="decimal" w:pos="964"/>
              </w:tabs>
              <w:ind w:left="-113"/>
              <w:jc w:val="right"/>
              <w:rPr>
                <w:color w:val="000000"/>
                <w:sz w:val="18"/>
                <w:szCs w:val="18"/>
              </w:rPr>
            </w:pPr>
            <w:r>
              <w:rPr>
                <w:color w:val="000000"/>
                <w:sz w:val="18"/>
                <w:szCs w:val="18"/>
              </w:rPr>
              <w:t>5,054</w:t>
            </w:r>
          </w:p>
        </w:tc>
        <w:tc>
          <w:tcPr>
            <w:tcW w:w="1361" w:type="dxa"/>
            <w:tcBorders>
              <w:top w:val="nil"/>
              <w:left w:val="single" w:sz="4" w:space="0" w:color="FFFFFF" w:themeColor="background1"/>
              <w:bottom w:val="nil"/>
            </w:tcBorders>
            <w:vAlign w:val="bottom"/>
          </w:tcPr>
          <w:p w14:paraId="67B798EE" w14:textId="27A2F89D" w:rsidR="008F1551" w:rsidRPr="002D3E99" w:rsidRDefault="002D3E99" w:rsidP="008F1551">
            <w:pPr>
              <w:tabs>
                <w:tab w:val="decimal" w:pos="964"/>
              </w:tabs>
              <w:ind w:left="-113"/>
              <w:jc w:val="right"/>
              <w:rPr>
                <w:color w:val="000000"/>
                <w:sz w:val="18"/>
                <w:szCs w:val="18"/>
              </w:rPr>
            </w:pPr>
            <w:r>
              <w:rPr>
                <w:color w:val="000000"/>
                <w:sz w:val="18"/>
                <w:szCs w:val="18"/>
              </w:rPr>
              <w:t>-</w:t>
            </w:r>
          </w:p>
        </w:tc>
      </w:tr>
      <w:tr w:rsidR="008F1551" w:rsidRPr="008F1551" w14:paraId="212E60A7" w14:textId="77777777" w:rsidTr="002D3E99">
        <w:trPr>
          <w:trHeight w:val="291"/>
          <w:jc w:val="center"/>
        </w:trPr>
        <w:tc>
          <w:tcPr>
            <w:tcW w:w="3119" w:type="dxa"/>
            <w:tcBorders>
              <w:top w:val="nil"/>
              <w:bottom w:val="nil"/>
              <w:right w:val="nil"/>
            </w:tcBorders>
            <w:vAlign w:val="bottom"/>
          </w:tcPr>
          <w:p w14:paraId="19EE2CF4" w14:textId="4A59B983" w:rsidR="008F1551" w:rsidRPr="002D3E99" w:rsidRDefault="008F1551" w:rsidP="00DC7046">
            <w:pPr>
              <w:pStyle w:val="Footer"/>
              <w:ind w:left="5" w:right="-113" w:hanging="113"/>
              <w:rPr>
                <w:rFonts w:cs="Arial"/>
                <w:sz w:val="18"/>
                <w:szCs w:val="18"/>
              </w:rPr>
            </w:pPr>
            <w:r w:rsidRPr="002D3E99">
              <w:rPr>
                <w:sz w:val="18"/>
                <w:szCs w:val="18"/>
              </w:rPr>
              <w:t>Dividends declare</w:t>
            </w:r>
          </w:p>
        </w:tc>
        <w:tc>
          <w:tcPr>
            <w:tcW w:w="992" w:type="dxa"/>
            <w:tcBorders>
              <w:top w:val="nil"/>
              <w:bottom w:val="nil"/>
              <w:right w:val="nil"/>
            </w:tcBorders>
            <w:vAlign w:val="bottom"/>
          </w:tcPr>
          <w:p w14:paraId="6914615E" w14:textId="77777777" w:rsidR="008F1551" w:rsidRPr="002D3E99" w:rsidRDefault="008F1551" w:rsidP="008F1551">
            <w:pPr>
              <w:tabs>
                <w:tab w:val="decimal" w:pos="964"/>
              </w:tabs>
              <w:ind w:left="-113"/>
              <w:jc w:val="right"/>
              <w:rPr>
                <w:color w:val="000000"/>
                <w:sz w:val="18"/>
                <w:szCs w:val="18"/>
              </w:rPr>
            </w:pPr>
          </w:p>
        </w:tc>
        <w:tc>
          <w:tcPr>
            <w:tcW w:w="1247" w:type="dxa"/>
            <w:tcBorders>
              <w:top w:val="nil"/>
              <w:left w:val="nil"/>
              <w:bottom w:val="nil"/>
              <w:right w:val="nil"/>
            </w:tcBorders>
            <w:vAlign w:val="bottom"/>
          </w:tcPr>
          <w:p w14:paraId="022FA93B" w14:textId="5E4A4169" w:rsidR="008F1551" w:rsidRPr="002D3E99" w:rsidRDefault="002D3E99" w:rsidP="008F1551">
            <w:pPr>
              <w:tabs>
                <w:tab w:val="decimal" w:pos="964"/>
              </w:tabs>
              <w:ind w:left="-113"/>
              <w:jc w:val="right"/>
              <w:rPr>
                <w:rFonts w:cs="Arial"/>
                <w:color w:val="000000"/>
                <w:sz w:val="18"/>
                <w:szCs w:val="18"/>
              </w:rPr>
            </w:pPr>
            <w:r>
              <w:rPr>
                <w:rFonts w:cs="Arial"/>
                <w:color w:val="000000"/>
                <w:sz w:val="18"/>
                <w:szCs w:val="18"/>
              </w:rPr>
              <w:t>-</w:t>
            </w:r>
          </w:p>
        </w:tc>
        <w:tc>
          <w:tcPr>
            <w:tcW w:w="1191" w:type="dxa"/>
            <w:tcBorders>
              <w:top w:val="nil"/>
              <w:left w:val="nil"/>
              <w:bottom w:val="nil"/>
              <w:right w:val="nil"/>
            </w:tcBorders>
            <w:vAlign w:val="bottom"/>
          </w:tcPr>
          <w:p w14:paraId="1019A71E" w14:textId="55676D65" w:rsidR="008F1551" w:rsidRPr="002D3E99" w:rsidRDefault="002D3E99" w:rsidP="008F1551">
            <w:pPr>
              <w:tabs>
                <w:tab w:val="decimal" w:pos="964"/>
              </w:tabs>
              <w:ind w:left="-113"/>
              <w:jc w:val="right"/>
              <w:rPr>
                <w:color w:val="000000"/>
                <w:sz w:val="18"/>
                <w:szCs w:val="18"/>
              </w:rPr>
            </w:pPr>
            <w:r w:rsidRPr="002D3E99">
              <w:rPr>
                <w:color w:val="000000"/>
                <w:sz w:val="18"/>
                <w:szCs w:val="18"/>
              </w:rPr>
              <w:t>-</w:t>
            </w:r>
          </w:p>
        </w:tc>
        <w:tc>
          <w:tcPr>
            <w:tcW w:w="1559" w:type="dxa"/>
            <w:tcBorders>
              <w:top w:val="nil"/>
              <w:left w:val="nil"/>
              <w:bottom w:val="nil"/>
              <w:right w:val="nil"/>
            </w:tcBorders>
            <w:vAlign w:val="bottom"/>
          </w:tcPr>
          <w:p w14:paraId="5F2488D4" w14:textId="6E68CD62" w:rsidR="008F1551" w:rsidRPr="002D3E99" w:rsidRDefault="003E68E4" w:rsidP="008F1551">
            <w:pPr>
              <w:tabs>
                <w:tab w:val="decimal" w:pos="964"/>
              </w:tabs>
              <w:ind w:left="-113"/>
              <w:jc w:val="right"/>
              <w:rPr>
                <w:color w:val="000000"/>
                <w:sz w:val="18"/>
                <w:szCs w:val="18"/>
              </w:rPr>
            </w:pPr>
            <w:r>
              <w:rPr>
                <w:color w:val="000000"/>
                <w:sz w:val="18"/>
                <w:szCs w:val="18"/>
              </w:rPr>
              <w:t>(2,107,594)</w:t>
            </w:r>
          </w:p>
        </w:tc>
        <w:tc>
          <w:tcPr>
            <w:tcW w:w="1361" w:type="dxa"/>
            <w:tcBorders>
              <w:top w:val="nil"/>
              <w:left w:val="nil"/>
              <w:bottom w:val="nil"/>
            </w:tcBorders>
            <w:vAlign w:val="bottom"/>
          </w:tcPr>
          <w:p w14:paraId="797BE5DE" w14:textId="3E1BAC57" w:rsidR="008F1551" w:rsidRPr="002D3E99" w:rsidRDefault="003E68E4" w:rsidP="008F1551">
            <w:pPr>
              <w:tabs>
                <w:tab w:val="decimal" w:pos="964"/>
              </w:tabs>
              <w:ind w:left="-113"/>
              <w:jc w:val="right"/>
              <w:rPr>
                <w:rFonts w:cs="Arial"/>
                <w:color w:val="000000"/>
                <w:sz w:val="18"/>
                <w:szCs w:val="18"/>
              </w:rPr>
            </w:pPr>
            <w:r>
              <w:rPr>
                <w:rFonts w:cs="Arial"/>
                <w:color w:val="000000"/>
                <w:sz w:val="18"/>
                <w:szCs w:val="18"/>
              </w:rPr>
              <w:t>(2,107,594)</w:t>
            </w:r>
          </w:p>
        </w:tc>
      </w:tr>
      <w:tr w:rsidR="008F1551" w:rsidRPr="008F1551" w14:paraId="705ADA12" w14:textId="77777777" w:rsidTr="003E68E4">
        <w:trPr>
          <w:trHeight w:val="355"/>
          <w:jc w:val="center"/>
        </w:trPr>
        <w:tc>
          <w:tcPr>
            <w:tcW w:w="3119" w:type="dxa"/>
            <w:tcBorders>
              <w:top w:val="single" w:sz="4" w:space="0" w:color="auto"/>
              <w:bottom w:val="double" w:sz="4" w:space="0" w:color="auto"/>
            </w:tcBorders>
            <w:vAlign w:val="bottom"/>
          </w:tcPr>
          <w:p w14:paraId="7AEE149B" w14:textId="77777777" w:rsidR="008F1551" w:rsidRPr="008F1551" w:rsidRDefault="008F1551" w:rsidP="00DC7046">
            <w:pPr>
              <w:pStyle w:val="Footer"/>
              <w:ind w:left="5" w:right="-113" w:hanging="113"/>
              <w:rPr>
                <w:rFonts w:cs="Arial"/>
                <w:b/>
                <w:sz w:val="18"/>
                <w:szCs w:val="18"/>
              </w:rPr>
            </w:pPr>
            <w:bookmarkStart w:id="12" w:name="_Hlk515452633"/>
            <w:r w:rsidRPr="008F1551">
              <w:rPr>
                <w:b/>
                <w:sz w:val="18"/>
                <w:szCs w:val="18"/>
              </w:rPr>
              <w:t xml:space="preserve">As of </w:t>
            </w:r>
            <w:proofErr w:type="gramStart"/>
            <w:r w:rsidRPr="008F1551">
              <w:rPr>
                <w:b/>
                <w:sz w:val="18"/>
                <w:szCs w:val="18"/>
              </w:rPr>
              <w:t>31 December</w:t>
            </w:r>
            <w:proofErr w:type="gramEnd"/>
            <w:r w:rsidRPr="008F1551">
              <w:rPr>
                <w:b/>
                <w:sz w:val="18"/>
                <w:szCs w:val="18"/>
              </w:rPr>
              <w:t xml:space="preserve"> 2019</w:t>
            </w:r>
          </w:p>
        </w:tc>
        <w:tc>
          <w:tcPr>
            <w:tcW w:w="992" w:type="dxa"/>
            <w:tcBorders>
              <w:top w:val="single" w:sz="4" w:space="0" w:color="auto"/>
              <w:bottom w:val="double" w:sz="4" w:space="0" w:color="auto"/>
            </w:tcBorders>
            <w:vAlign w:val="bottom"/>
          </w:tcPr>
          <w:p w14:paraId="1FC44C4B" w14:textId="77777777" w:rsidR="008F1551" w:rsidRPr="008F1551" w:rsidRDefault="008F1551" w:rsidP="008F1551">
            <w:pPr>
              <w:tabs>
                <w:tab w:val="decimal" w:pos="964"/>
              </w:tabs>
              <w:ind w:left="-113"/>
              <w:jc w:val="right"/>
              <w:rPr>
                <w:b/>
                <w:color w:val="000000"/>
                <w:sz w:val="18"/>
                <w:szCs w:val="18"/>
              </w:rPr>
            </w:pPr>
          </w:p>
        </w:tc>
        <w:tc>
          <w:tcPr>
            <w:tcW w:w="1247" w:type="dxa"/>
            <w:tcBorders>
              <w:top w:val="single" w:sz="4" w:space="0" w:color="auto"/>
              <w:left w:val="single" w:sz="4" w:space="0" w:color="FFFFFF" w:themeColor="background1"/>
              <w:bottom w:val="double" w:sz="4" w:space="0" w:color="auto"/>
              <w:right w:val="single" w:sz="4" w:space="0" w:color="FFFFFF" w:themeColor="background1"/>
            </w:tcBorders>
            <w:vAlign w:val="bottom"/>
          </w:tcPr>
          <w:p w14:paraId="7444EB73" w14:textId="312F0958" w:rsidR="008F1551" w:rsidRPr="008F1551" w:rsidRDefault="002D3E99" w:rsidP="008F1551">
            <w:pPr>
              <w:tabs>
                <w:tab w:val="decimal" w:pos="964"/>
              </w:tabs>
              <w:ind w:left="-113"/>
              <w:jc w:val="right"/>
              <w:rPr>
                <w:rFonts w:cs="Arial"/>
                <w:b/>
                <w:color w:val="000000"/>
                <w:sz w:val="18"/>
                <w:szCs w:val="18"/>
              </w:rPr>
            </w:pPr>
            <w:r>
              <w:rPr>
                <w:rFonts w:cs="Arial"/>
                <w:b/>
                <w:color w:val="000000"/>
                <w:sz w:val="18"/>
                <w:szCs w:val="18"/>
              </w:rPr>
              <w:t>10,005,250</w:t>
            </w:r>
          </w:p>
        </w:tc>
        <w:tc>
          <w:tcPr>
            <w:tcW w:w="1191" w:type="dxa"/>
            <w:tcBorders>
              <w:top w:val="single" w:sz="4" w:space="0" w:color="auto"/>
              <w:left w:val="single" w:sz="4" w:space="0" w:color="FFFFFF" w:themeColor="background1"/>
              <w:bottom w:val="double" w:sz="4" w:space="0" w:color="auto"/>
              <w:right w:val="single" w:sz="4" w:space="0" w:color="FFFFFF" w:themeColor="background1"/>
            </w:tcBorders>
            <w:vAlign w:val="bottom"/>
          </w:tcPr>
          <w:p w14:paraId="7F231631" w14:textId="3791B6FA" w:rsidR="008F1551" w:rsidRPr="008F1551" w:rsidRDefault="002D3E99" w:rsidP="008F1551">
            <w:pPr>
              <w:tabs>
                <w:tab w:val="decimal" w:pos="964"/>
              </w:tabs>
              <w:ind w:left="-113"/>
              <w:jc w:val="right"/>
              <w:rPr>
                <w:b/>
                <w:color w:val="000000"/>
                <w:sz w:val="18"/>
                <w:szCs w:val="18"/>
              </w:rPr>
            </w:pPr>
            <w:r>
              <w:rPr>
                <w:b/>
                <w:color w:val="000000"/>
                <w:sz w:val="18"/>
                <w:szCs w:val="18"/>
              </w:rPr>
              <w:t>61,766</w:t>
            </w:r>
          </w:p>
        </w:tc>
        <w:tc>
          <w:tcPr>
            <w:tcW w:w="1559" w:type="dxa"/>
            <w:tcBorders>
              <w:top w:val="single" w:sz="4" w:space="0" w:color="auto"/>
              <w:left w:val="single" w:sz="4" w:space="0" w:color="FFFFFF" w:themeColor="background1"/>
              <w:bottom w:val="double" w:sz="4" w:space="0" w:color="auto"/>
              <w:right w:val="single" w:sz="4" w:space="0" w:color="FFFFFF" w:themeColor="background1"/>
            </w:tcBorders>
            <w:vAlign w:val="bottom"/>
          </w:tcPr>
          <w:p w14:paraId="4C50ED74" w14:textId="71E4339C" w:rsidR="008F1551" w:rsidRPr="008F1551" w:rsidRDefault="003E68E4" w:rsidP="008F1551">
            <w:pPr>
              <w:tabs>
                <w:tab w:val="decimal" w:pos="964"/>
              </w:tabs>
              <w:ind w:left="-113"/>
              <w:jc w:val="right"/>
              <w:rPr>
                <w:b/>
                <w:color w:val="000000"/>
                <w:sz w:val="18"/>
                <w:szCs w:val="18"/>
              </w:rPr>
            </w:pPr>
            <w:r>
              <w:rPr>
                <w:b/>
                <w:color w:val="000000"/>
                <w:sz w:val="18"/>
                <w:szCs w:val="18"/>
              </w:rPr>
              <w:t>1,429,361</w:t>
            </w:r>
          </w:p>
        </w:tc>
        <w:tc>
          <w:tcPr>
            <w:tcW w:w="1361" w:type="dxa"/>
            <w:tcBorders>
              <w:top w:val="single" w:sz="4" w:space="0" w:color="auto"/>
              <w:left w:val="single" w:sz="4" w:space="0" w:color="FFFFFF" w:themeColor="background1"/>
              <w:bottom w:val="double" w:sz="4" w:space="0" w:color="auto"/>
            </w:tcBorders>
            <w:vAlign w:val="bottom"/>
          </w:tcPr>
          <w:p w14:paraId="13098C5F" w14:textId="5637BF35" w:rsidR="008F1551" w:rsidRPr="008F1551" w:rsidRDefault="003E68E4" w:rsidP="008F1551">
            <w:pPr>
              <w:tabs>
                <w:tab w:val="decimal" w:pos="964"/>
              </w:tabs>
              <w:ind w:left="-113"/>
              <w:jc w:val="right"/>
              <w:rPr>
                <w:rFonts w:cs="Arial"/>
                <w:b/>
                <w:color w:val="000000"/>
                <w:sz w:val="18"/>
                <w:szCs w:val="18"/>
              </w:rPr>
            </w:pPr>
            <w:r>
              <w:rPr>
                <w:rFonts w:cs="Arial"/>
                <w:b/>
                <w:color w:val="000000"/>
                <w:sz w:val="18"/>
                <w:szCs w:val="18"/>
              </w:rPr>
              <w:t>11,496,377</w:t>
            </w:r>
          </w:p>
        </w:tc>
      </w:tr>
      <w:bookmarkEnd w:id="9"/>
      <w:bookmarkEnd w:id="11"/>
      <w:bookmarkEnd w:id="12"/>
    </w:tbl>
    <w:p w14:paraId="0DB0F8CF" w14:textId="77777777" w:rsidR="008F1551" w:rsidRDefault="008F1551" w:rsidP="000F0BA8">
      <w:pPr>
        <w:rPr>
          <w:rFonts w:ascii="Times New Roman" w:hAnsi="Times New Roman" w:cs="Times New Roman"/>
          <w:sz w:val="22"/>
          <w:lang w:val="en-US"/>
        </w:rPr>
      </w:pPr>
    </w:p>
    <w:p w14:paraId="0E500C8B" w14:textId="77777777" w:rsidR="000F0BA8" w:rsidRDefault="000F0BA8" w:rsidP="000F0BA8">
      <w:pPr>
        <w:rPr>
          <w:rFonts w:ascii="Times New Roman" w:hAnsi="Times New Roman" w:cs="Times New Roman"/>
          <w:sz w:val="22"/>
          <w:lang w:val="en-US"/>
        </w:rPr>
      </w:pPr>
    </w:p>
    <w:p w14:paraId="724C1F7F" w14:textId="77777777" w:rsidR="000F0BA8" w:rsidRDefault="000F0BA8" w:rsidP="000F0BA8">
      <w:pPr>
        <w:rPr>
          <w:rFonts w:ascii="Times New Roman" w:hAnsi="Times New Roman" w:cs="Times New Roman"/>
          <w:sz w:val="22"/>
          <w:lang w:val="en-US"/>
        </w:rPr>
      </w:pPr>
    </w:p>
    <w:p w14:paraId="4601D80B" w14:textId="77777777" w:rsidR="00DC7046" w:rsidRDefault="00DC7046" w:rsidP="000F0BA8">
      <w:pPr>
        <w:rPr>
          <w:rFonts w:ascii="Times New Roman" w:hAnsi="Times New Roman" w:cs="Times New Roman"/>
          <w:sz w:val="22"/>
          <w:lang w:val="en-US"/>
        </w:rPr>
      </w:pPr>
    </w:p>
    <w:p w14:paraId="11F0A185" w14:textId="77777777" w:rsidR="00DC7046" w:rsidRDefault="00DC7046" w:rsidP="000F0BA8">
      <w:pPr>
        <w:rPr>
          <w:rFonts w:ascii="Times New Roman" w:hAnsi="Times New Roman" w:cs="Times New Roman"/>
          <w:sz w:val="22"/>
          <w:lang w:val="en-US"/>
        </w:rPr>
      </w:pPr>
    </w:p>
    <w:p w14:paraId="2CF8BDEA" w14:textId="77777777" w:rsidR="00DC7046" w:rsidRDefault="00DC7046" w:rsidP="000F0BA8">
      <w:pPr>
        <w:rPr>
          <w:rFonts w:ascii="Times New Roman" w:hAnsi="Times New Roman" w:cs="Times New Roman"/>
          <w:sz w:val="22"/>
          <w:lang w:val="en-US"/>
        </w:rPr>
      </w:pPr>
    </w:p>
    <w:p w14:paraId="0D35485F" w14:textId="77777777" w:rsidR="00DC7046" w:rsidRDefault="00DC7046" w:rsidP="000F0BA8">
      <w:pPr>
        <w:rPr>
          <w:rFonts w:ascii="Times New Roman" w:hAnsi="Times New Roman" w:cs="Times New Roman"/>
          <w:sz w:val="22"/>
          <w:lang w:val="en-US"/>
        </w:rPr>
      </w:pPr>
    </w:p>
    <w:p w14:paraId="608455CE" w14:textId="77777777" w:rsidR="00DC7046" w:rsidRDefault="00DC7046" w:rsidP="000F0BA8">
      <w:pPr>
        <w:rPr>
          <w:rFonts w:ascii="Times New Roman" w:hAnsi="Times New Roman" w:cs="Times New Roman"/>
          <w:sz w:val="22"/>
          <w:lang w:val="en-US"/>
        </w:rPr>
      </w:pPr>
    </w:p>
    <w:p w14:paraId="5EFA3CC2" w14:textId="77777777" w:rsidR="00DC7046" w:rsidRDefault="00DC7046" w:rsidP="000F0BA8">
      <w:pPr>
        <w:rPr>
          <w:rFonts w:ascii="Times New Roman" w:hAnsi="Times New Roman" w:cs="Times New Roman"/>
          <w:sz w:val="22"/>
          <w:lang w:val="en-US"/>
        </w:rPr>
      </w:pPr>
    </w:p>
    <w:p w14:paraId="479987AA" w14:textId="77777777" w:rsidR="00DC7046" w:rsidRDefault="00DC7046" w:rsidP="000F0BA8">
      <w:pPr>
        <w:rPr>
          <w:rFonts w:ascii="Times New Roman" w:hAnsi="Times New Roman" w:cs="Times New Roman"/>
          <w:sz w:val="22"/>
          <w:lang w:val="en-US"/>
        </w:rPr>
      </w:pPr>
    </w:p>
    <w:p w14:paraId="745545B2" w14:textId="77777777" w:rsidR="00DC7046" w:rsidRDefault="00DC7046" w:rsidP="000F0BA8">
      <w:pPr>
        <w:rPr>
          <w:rFonts w:ascii="Times New Roman" w:hAnsi="Times New Roman" w:cs="Times New Roman"/>
          <w:sz w:val="22"/>
          <w:lang w:val="en-US"/>
        </w:rPr>
      </w:pPr>
    </w:p>
    <w:p w14:paraId="065FB554" w14:textId="77777777" w:rsidR="00DC7046" w:rsidRDefault="00DC7046" w:rsidP="00DC7046">
      <w:pPr>
        <w:rPr>
          <w:rFonts w:ascii="Times New Roman" w:hAnsi="Times New Roman" w:cs="Times New Roman"/>
          <w:sz w:val="22"/>
          <w:lang w:val="en-US"/>
        </w:rPr>
      </w:pPr>
    </w:p>
    <w:p w14:paraId="20BC0E24" w14:textId="77777777" w:rsidR="00DC7046" w:rsidRDefault="00DC7046" w:rsidP="00DC7046">
      <w:pPr>
        <w:rPr>
          <w:rFonts w:ascii="Times New Roman" w:hAnsi="Times New Roman" w:cs="Times New Roman"/>
          <w:sz w:val="22"/>
          <w:lang w:val="en-US"/>
        </w:rPr>
      </w:pPr>
    </w:p>
    <w:tbl>
      <w:tblPr>
        <w:tblW w:w="9214" w:type="dxa"/>
        <w:tblLook w:val="04A0" w:firstRow="1" w:lastRow="0" w:firstColumn="1" w:lastColumn="0" w:noHBand="0" w:noVBand="1"/>
      </w:tblPr>
      <w:tblGrid>
        <w:gridCol w:w="3320"/>
        <w:gridCol w:w="2980"/>
        <w:gridCol w:w="2914"/>
      </w:tblGrid>
      <w:tr w:rsidR="00DC7046" w:rsidRPr="00DD7EB8" w14:paraId="4768CF90" w14:textId="77777777" w:rsidTr="00DC7046">
        <w:trPr>
          <w:trHeight w:val="288"/>
        </w:trPr>
        <w:tc>
          <w:tcPr>
            <w:tcW w:w="3320" w:type="dxa"/>
            <w:tcBorders>
              <w:top w:val="nil"/>
              <w:left w:val="nil"/>
              <w:bottom w:val="single" w:sz="4" w:space="0" w:color="auto"/>
              <w:right w:val="nil"/>
            </w:tcBorders>
            <w:shd w:val="clear" w:color="auto" w:fill="auto"/>
            <w:noWrap/>
            <w:vAlign w:val="bottom"/>
            <w:hideMark/>
          </w:tcPr>
          <w:p w14:paraId="69773E83" w14:textId="77777777" w:rsidR="00DC7046" w:rsidRPr="00DD7EB8" w:rsidRDefault="00DC7046" w:rsidP="00DC7046">
            <w:pPr>
              <w:rPr>
                <w:rFonts w:eastAsia="Times New Roman" w:cs="Times New Roman"/>
                <w:color w:val="000000"/>
                <w:szCs w:val="20"/>
                <w:lang w:eastAsia="en-GB"/>
              </w:rPr>
            </w:pPr>
            <w:r w:rsidRPr="00DD7EB8">
              <w:rPr>
                <w:rFonts w:eastAsia="Times New Roman" w:cs="Times New Roman"/>
                <w:color w:val="000000"/>
                <w:szCs w:val="20"/>
                <w:lang w:eastAsia="en-GB"/>
              </w:rPr>
              <w:t> </w:t>
            </w:r>
          </w:p>
        </w:tc>
        <w:tc>
          <w:tcPr>
            <w:tcW w:w="2980" w:type="dxa"/>
            <w:tcBorders>
              <w:top w:val="nil"/>
              <w:left w:val="nil"/>
              <w:bottom w:val="nil"/>
              <w:right w:val="nil"/>
            </w:tcBorders>
            <w:shd w:val="clear" w:color="auto" w:fill="auto"/>
            <w:noWrap/>
            <w:vAlign w:val="bottom"/>
            <w:hideMark/>
          </w:tcPr>
          <w:p w14:paraId="1EA613B7" w14:textId="77777777" w:rsidR="00DC7046" w:rsidRPr="00DD7EB8" w:rsidRDefault="00DC7046" w:rsidP="00DC7046">
            <w:pPr>
              <w:rPr>
                <w:rFonts w:eastAsia="Times New Roman" w:cs="Times New Roman"/>
                <w:color w:val="000000"/>
                <w:szCs w:val="20"/>
                <w:lang w:eastAsia="en-GB"/>
              </w:rPr>
            </w:pPr>
          </w:p>
        </w:tc>
        <w:tc>
          <w:tcPr>
            <w:tcW w:w="2914" w:type="dxa"/>
            <w:tcBorders>
              <w:top w:val="nil"/>
              <w:left w:val="nil"/>
              <w:bottom w:val="single" w:sz="4" w:space="0" w:color="auto"/>
              <w:right w:val="nil"/>
            </w:tcBorders>
            <w:shd w:val="clear" w:color="auto" w:fill="auto"/>
            <w:noWrap/>
            <w:vAlign w:val="bottom"/>
            <w:hideMark/>
          </w:tcPr>
          <w:p w14:paraId="644F0B13" w14:textId="77777777" w:rsidR="00DC7046" w:rsidRPr="00DD7EB8" w:rsidRDefault="00DC7046" w:rsidP="00DC7046">
            <w:pPr>
              <w:rPr>
                <w:rFonts w:eastAsia="Times New Roman" w:cs="Times New Roman"/>
                <w:color w:val="000000"/>
                <w:szCs w:val="20"/>
                <w:lang w:eastAsia="en-GB"/>
              </w:rPr>
            </w:pPr>
            <w:r w:rsidRPr="00DD7EB8">
              <w:rPr>
                <w:rFonts w:eastAsia="Times New Roman" w:cs="Times New Roman"/>
                <w:color w:val="000000"/>
                <w:szCs w:val="20"/>
                <w:lang w:eastAsia="en-GB"/>
              </w:rPr>
              <w:t> </w:t>
            </w:r>
          </w:p>
        </w:tc>
      </w:tr>
      <w:tr w:rsidR="00DC7046" w:rsidRPr="00DD7EB8" w14:paraId="411FB1D3" w14:textId="77777777" w:rsidTr="00DC7046">
        <w:trPr>
          <w:trHeight w:val="288"/>
        </w:trPr>
        <w:tc>
          <w:tcPr>
            <w:tcW w:w="3320" w:type="dxa"/>
            <w:tcBorders>
              <w:top w:val="nil"/>
              <w:left w:val="nil"/>
              <w:bottom w:val="nil"/>
              <w:right w:val="nil"/>
            </w:tcBorders>
            <w:shd w:val="clear" w:color="auto" w:fill="auto"/>
            <w:noWrap/>
            <w:vAlign w:val="bottom"/>
            <w:hideMark/>
          </w:tcPr>
          <w:p w14:paraId="1AEFA43A" w14:textId="77777777" w:rsidR="00DC7046" w:rsidRPr="00DD7EB8" w:rsidRDefault="00DC7046" w:rsidP="00DC7046">
            <w:pPr>
              <w:rPr>
                <w:rFonts w:eastAsia="Times New Roman" w:cs="Times New Roman"/>
                <w:color w:val="000000"/>
                <w:szCs w:val="20"/>
                <w:lang w:eastAsia="en-GB"/>
              </w:rPr>
            </w:pPr>
            <w:proofErr w:type="spellStart"/>
            <w:r w:rsidRPr="00DD7EB8">
              <w:rPr>
                <w:rFonts w:eastAsia="Times New Roman" w:cs="Times New Roman"/>
                <w:color w:val="000000"/>
                <w:szCs w:val="20"/>
                <w:lang w:eastAsia="en-GB"/>
              </w:rPr>
              <w:t>Anar</w:t>
            </w:r>
            <w:proofErr w:type="spellEnd"/>
            <w:r w:rsidRPr="00DD7EB8">
              <w:rPr>
                <w:rFonts w:eastAsia="Times New Roman" w:cs="Times New Roman"/>
                <w:color w:val="000000"/>
                <w:szCs w:val="20"/>
                <w:lang w:eastAsia="en-GB"/>
              </w:rPr>
              <w:t xml:space="preserve"> Bayramov</w:t>
            </w:r>
          </w:p>
        </w:tc>
        <w:tc>
          <w:tcPr>
            <w:tcW w:w="2980" w:type="dxa"/>
            <w:tcBorders>
              <w:top w:val="nil"/>
              <w:left w:val="nil"/>
              <w:bottom w:val="nil"/>
              <w:right w:val="nil"/>
            </w:tcBorders>
            <w:shd w:val="clear" w:color="auto" w:fill="auto"/>
            <w:noWrap/>
            <w:vAlign w:val="bottom"/>
            <w:hideMark/>
          </w:tcPr>
          <w:p w14:paraId="767C0189" w14:textId="77777777" w:rsidR="00DC7046" w:rsidRPr="00DD7EB8" w:rsidRDefault="00DC7046" w:rsidP="00DC7046">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0E53D504" w14:textId="77777777" w:rsidR="00DC7046" w:rsidRPr="00DD7EB8" w:rsidRDefault="00DC7046" w:rsidP="00DC7046">
            <w:pPr>
              <w:rPr>
                <w:rFonts w:eastAsia="Times New Roman" w:cs="Times New Roman"/>
                <w:color w:val="000000"/>
                <w:szCs w:val="20"/>
                <w:lang w:eastAsia="en-GB"/>
              </w:rPr>
            </w:pPr>
            <w:r w:rsidRPr="00DD7EB8">
              <w:rPr>
                <w:rFonts w:eastAsia="Times New Roman" w:cs="Times New Roman"/>
                <w:color w:val="000000"/>
                <w:szCs w:val="20"/>
                <w:lang w:eastAsia="en-GB"/>
              </w:rPr>
              <w:t>Natavan Imamguliyeva</w:t>
            </w:r>
          </w:p>
        </w:tc>
      </w:tr>
      <w:tr w:rsidR="00DC7046" w:rsidRPr="00DD7EB8" w14:paraId="679AAF0F" w14:textId="77777777" w:rsidTr="00DC7046">
        <w:trPr>
          <w:trHeight w:val="288"/>
        </w:trPr>
        <w:tc>
          <w:tcPr>
            <w:tcW w:w="3320" w:type="dxa"/>
            <w:tcBorders>
              <w:top w:val="nil"/>
              <w:left w:val="nil"/>
              <w:bottom w:val="nil"/>
              <w:right w:val="nil"/>
            </w:tcBorders>
            <w:shd w:val="clear" w:color="auto" w:fill="auto"/>
            <w:noWrap/>
            <w:vAlign w:val="bottom"/>
            <w:hideMark/>
          </w:tcPr>
          <w:p w14:paraId="77F5CE68" w14:textId="77777777" w:rsidR="00DC7046" w:rsidRPr="00DD7EB8" w:rsidRDefault="00DC7046" w:rsidP="00DC7046">
            <w:pPr>
              <w:rPr>
                <w:rFonts w:eastAsia="Times New Roman" w:cs="Times New Roman"/>
                <w:color w:val="000000"/>
                <w:szCs w:val="20"/>
                <w:lang w:eastAsia="en-GB"/>
              </w:rPr>
            </w:pPr>
            <w:r w:rsidRPr="00DD7EB8">
              <w:rPr>
                <w:rFonts w:eastAsia="Times New Roman" w:cs="Times New Roman"/>
                <w:color w:val="000000"/>
                <w:szCs w:val="20"/>
                <w:lang w:eastAsia="en-GB"/>
              </w:rPr>
              <w:t>Chairman of the Board</w:t>
            </w:r>
          </w:p>
        </w:tc>
        <w:tc>
          <w:tcPr>
            <w:tcW w:w="2980" w:type="dxa"/>
            <w:tcBorders>
              <w:top w:val="nil"/>
              <w:left w:val="nil"/>
              <w:bottom w:val="nil"/>
              <w:right w:val="nil"/>
            </w:tcBorders>
            <w:shd w:val="clear" w:color="auto" w:fill="auto"/>
            <w:noWrap/>
            <w:vAlign w:val="bottom"/>
            <w:hideMark/>
          </w:tcPr>
          <w:p w14:paraId="2BFC550F" w14:textId="77777777" w:rsidR="00DC7046" w:rsidRPr="00DD7EB8" w:rsidRDefault="00DC7046" w:rsidP="00DC7046">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0A57DBDF" w14:textId="77777777" w:rsidR="00DC7046" w:rsidRPr="00DD7EB8" w:rsidRDefault="00DC7046" w:rsidP="00DC7046">
            <w:pPr>
              <w:rPr>
                <w:rFonts w:eastAsia="Times New Roman" w:cs="Times New Roman"/>
                <w:color w:val="000000"/>
                <w:szCs w:val="20"/>
                <w:lang w:eastAsia="en-GB"/>
              </w:rPr>
            </w:pPr>
            <w:r w:rsidRPr="00DD7EB8">
              <w:rPr>
                <w:rFonts w:eastAsia="Times New Roman" w:cs="Times New Roman"/>
                <w:color w:val="000000"/>
                <w:szCs w:val="20"/>
                <w:lang w:eastAsia="en-GB"/>
              </w:rPr>
              <w:t>Chief Accountant</w:t>
            </w:r>
          </w:p>
        </w:tc>
      </w:tr>
    </w:tbl>
    <w:p w14:paraId="4D65BCB9" w14:textId="77777777" w:rsidR="00DC7046" w:rsidRDefault="00DC7046" w:rsidP="000F0BA8">
      <w:pPr>
        <w:rPr>
          <w:rFonts w:ascii="Times New Roman" w:hAnsi="Times New Roman" w:cs="Times New Roman"/>
          <w:sz w:val="22"/>
          <w:lang w:val="en-US"/>
        </w:rPr>
      </w:pPr>
    </w:p>
    <w:p w14:paraId="22BAE780" w14:textId="77777777" w:rsidR="00DC7046" w:rsidRPr="00DC7046" w:rsidRDefault="00DC7046" w:rsidP="00DC7046">
      <w:pPr>
        <w:rPr>
          <w:rFonts w:ascii="Times New Roman" w:hAnsi="Times New Roman" w:cs="Times New Roman"/>
          <w:sz w:val="22"/>
          <w:lang w:val="en-US"/>
        </w:rPr>
      </w:pPr>
    </w:p>
    <w:p w14:paraId="4D884CB2" w14:textId="77777777" w:rsidR="00DC7046" w:rsidRPr="00DC7046" w:rsidRDefault="00DC7046" w:rsidP="00DC7046">
      <w:pPr>
        <w:rPr>
          <w:rFonts w:ascii="Times New Roman" w:hAnsi="Times New Roman" w:cs="Times New Roman"/>
          <w:sz w:val="22"/>
          <w:lang w:val="en-US"/>
        </w:rPr>
      </w:pPr>
    </w:p>
    <w:p w14:paraId="0BCCF189" w14:textId="77777777" w:rsidR="00DC7046" w:rsidRPr="00DC7046" w:rsidRDefault="00DC7046" w:rsidP="00DC7046">
      <w:pPr>
        <w:rPr>
          <w:rFonts w:ascii="Times New Roman" w:hAnsi="Times New Roman" w:cs="Times New Roman"/>
          <w:sz w:val="22"/>
          <w:lang w:val="en-US"/>
        </w:rPr>
      </w:pPr>
    </w:p>
    <w:p w14:paraId="48C91324" w14:textId="77777777" w:rsidR="00DC7046" w:rsidRPr="00DC7046" w:rsidRDefault="00DC7046" w:rsidP="00DC7046">
      <w:pPr>
        <w:rPr>
          <w:rFonts w:ascii="Times New Roman" w:hAnsi="Times New Roman" w:cs="Times New Roman"/>
          <w:sz w:val="22"/>
          <w:lang w:val="en-US"/>
        </w:rPr>
      </w:pPr>
    </w:p>
    <w:p w14:paraId="6E0501DB" w14:textId="77777777" w:rsidR="00DC7046" w:rsidRPr="00DC7046" w:rsidRDefault="00DC7046" w:rsidP="00DC7046">
      <w:pPr>
        <w:rPr>
          <w:rFonts w:ascii="Times New Roman" w:hAnsi="Times New Roman" w:cs="Times New Roman"/>
          <w:sz w:val="22"/>
          <w:lang w:val="en-US"/>
        </w:rPr>
      </w:pPr>
    </w:p>
    <w:p w14:paraId="19ED271C" w14:textId="77777777" w:rsidR="00DC7046" w:rsidRPr="00DC7046" w:rsidRDefault="00DC7046" w:rsidP="00DC7046">
      <w:pPr>
        <w:rPr>
          <w:rFonts w:ascii="Times New Roman" w:hAnsi="Times New Roman" w:cs="Times New Roman"/>
          <w:sz w:val="22"/>
          <w:lang w:val="en-US"/>
        </w:rPr>
      </w:pPr>
    </w:p>
    <w:p w14:paraId="7EF48310" w14:textId="77777777" w:rsidR="00DC7046" w:rsidRPr="00DC7046" w:rsidRDefault="00DC7046" w:rsidP="00DC7046">
      <w:pPr>
        <w:rPr>
          <w:rFonts w:ascii="Times New Roman" w:hAnsi="Times New Roman" w:cs="Times New Roman"/>
          <w:sz w:val="22"/>
          <w:lang w:val="en-US"/>
        </w:rPr>
      </w:pPr>
    </w:p>
    <w:p w14:paraId="2A4A1F4E" w14:textId="77777777" w:rsidR="00DC7046" w:rsidRPr="00DC7046" w:rsidRDefault="00DC7046" w:rsidP="00DC7046">
      <w:pPr>
        <w:rPr>
          <w:rFonts w:ascii="Times New Roman" w:hAnsi="Times New Roman" w:cs="Times New Roman"/>
          <w:sz w:val="22"/>
          <w:lang w:val="en-US"/>
        </w:rPr>
      </w:pPr>
    </w:p>
    <w:p w14:paraId="23CBBD53" w14:textId="77777777" w:rsidR="00DC7046" w:rsidRDefault="00DC7046" w:rsidP="00DC7046">
      <w:pPr>
        <w:rPr>
          <w:rFonts w:ascii="Times New Roman" w:hAnsi="Times New Roman" w:cs="Times New Roman"/>
          <w:sz w:val="22"/>
          <w:lang w:val="en-US"/>
        </w:rPr>
      </w:pPr>
    </w:p>
    <w:p w14:paraId="1AA61B14" w14:textId="77777777" w:rsidR="00DC7046" w:rsidRDefault="00DC7046" w:rsidP="00DC7046">
      <w:pPr>
        <w:rPr>
          <w:rFonts w:ascii="Times New Roman" w:hAnsi="Times New Roman" w:cs="Times New Roman"/>
          <w:sz w:val="22"/>
          <w:lang w:val="en-US"/>
        </w:rPr>
        <w:sectPr w:rsidR="00DC7046" w:rsidSect="00065F46">
          <w:headerReference w:type="default" r:id="rId18"/>
          <w:pgSz w:w="11906" w:h="16838" w:code="9"/>
          <w:pgMar w:top="1440" w:right="849" w:bottom="1440" w:left="1701" w:header="709" w:footer="709" w:gutter="0"/>
          <w:cols w:space="708"/>
          <w:docGrid w:linePitch="360"/>
        </w:sectPr>
      </w:pPr>
    </w:p>
    <w:p w14:paraId="3BE41584" w14:textId="496AA0C2" w:rsidR="00DC7046" w:rsidRDefault="00DC7046" w:rsidP="00DC7046">
      <w:pPr>
        <w:rPr>
          <w:rFonts w:ascii="Times New Roman" w:hAnsi="Times New Roman" w:cs="Times New Roman"/>
          <w:sz w:val="22"/>
          <w:lang w:val="en-US"/>
        </w:rPr>
      </w:pPr>
    </w:p>
    <w:p w14:paraId="62253B8E" w14:textId="77777777" w:rsidR="00DC7046" w:rsidRDefault="00DC7046" w:rsidP="00DC7046">
      <w:pPr>
        <w:rPr>
          <w:rFonts w:ascii="Times New Roman" w:hAnsi="Times New Roman" w:cs="Times New Roman"/>
          <w:sz w:val="22"/>
          <w:lang w:val="en-US"/>
        </w:rPr>
      </w:pPr>
    </w:p>
    <w:tbl>
      <w:tblPr>
        <w:tblW w:w="9747" w:type="dxa"/>
        <w:jc w:val="center"/>
        <w:tblLayout w:type="fixed"/>
        <w:tblLook w:val="0000" w:firstRow="0" w:lastRow="0" w:firstColumn="0" w:lastColumn="0" w:noHBand="0" w:noVBand="0"/>
      </w:tblPr>
      <w:tblGrid>
        <w:gridCol w:w="5585"/>
        <w:gridCol w:w="634"/>
        <w:gridCol w:w="1764"/>
        <w:gridCol w:w="1764"/>
      </w:tblGrid>
      <w:tr w:rsidR="00DC7046" w:rsidRPr="00DC7046" w14:paraId="6195B928" w14:textId="77777777" w:rsidTr="00DC7046">
        <w:trPr>
          <w:trHeight w:val="227"/>
          <w:jc w:val="center"/>
        </w:trPr>
        <w:tc>
          <w:tcPr>
            <w:tcW w:w="5585" w:type="dxa"/>
            <w:tcBorders>
              <w:left w:val="nil"/>
              <w:bottom w:val="single" w:sz="4" w:space="0" w:color="auto"/>
              <w:right w:val="nil"/>
            </w:tcBorders>
            <w:vAlign w:val="bottom"/>
          </w:tcPr>
          <w:p w14:paraId="543AD7A9" w14:textId="370C4219" w:rsidR="00DC7046" w:rsidRPr="00DC7046" w:rsidRDefault="00DC7046" w:rsidP="00DC7046">
            <w:pPr>
              <w:pStyle w:val="Norml"/>
              <w:widowControl w:val="0"/>
              <w:spacing w:after="0"/>
              <w:ind w:left="5" w:right="-108" w:hanging="113"/>
              <w:rPr>
                <w:rFonts w:ascii="Trebuchet MS" w:hAnsi="Trebuchet MS" w:cs="Arial"/>
                <w:i/>
                <w:sz w:val="18"/>
                <w:szCs w:val="18"/>
              </w:rPr>
            </w:pPr>
            <w:bookmarkStart w:id="13" w:name="OLE_LINK8"/>
          </w:p>
        </w:tc>
        <w:tc>
          <w:tcPr>
            <w:tcW w:w="634" w:type="dxa"/>
            <w:tcBorders>
              <w:left w:val="nil"/>
              <w:bottom w:val="single" w:sz="4" w:space="0" w:color="auto"/>
              <w:right w:val="nil"/>
            </w:tcBorders>
            <w:vAlign w:val="bottom"/>
          </w:tcPr>
          <w:p w14:paraId="70704409" w14:textId="77777777" w:rsidR="00DC7046" w:rsidRPr="00DC7046" w:rsidRDefault="00DC7046" w:rsidP="00DC7046">
            <w:pPr>
              <w:ind w:left="-108" w:right="-108"/>
              <w:jc w:val="center"/>
              <w:rPr>
                <w:rFonts w:cs="Arial"/>
                <w:b/>
                <w:color w:val="000000"/>
                <w:sz w:val="18"/>
                <w:szCs w:val="18"/>
              </w:rPr>
            </w:pPr>
            <w:r w:rsidRPr="00DC7046">
              <w:rPr>
                <w:b/>
                <w:color w:val="000000"/>
                <w:sz w:val="18"/>
                <w:szCs w:val="18"/>
              </w:rPr>
              <w:t>Notes</w:t>
            </w:r>
          </w:p>
        </w:tc>
        <w:tc>
          <w:tcPr>
            <w:tcW w:w="1764" w:type="dxa"/>
            <w:tcBorders>
              <w:left w:val="nil"/>
              <w:bottom w:val="single" w:sz="4" w:space="0" w:color="auto"/>
              <w:right w:val="nil"/>
            </w:tcBorders>
            <w:vAlign w:val="bottom"/>
          </w:tcPr>
          <w:p w14:paraId="1DEEFEB7" w14:textId="77777777" w:rsidR="00DC7046" w:rsidRPr="00DC7046" w:rsidRDefault="00DC7046" w:rsidP="00DC7046">
            <w:pPr>
              <w:ind w:left="-108" w:right="68"/>
              <w:jc w:val="right"/>
              <w:rPr>
                <w:rFonts w:cs="Arial"/>
                <w:b/>
                <w:sz w:val="18"/>
                <w:szCs w:val="18"/>
              </w:rPr>
            </w:pPr>
            <w:r w:rsidRPr="00DC7046">
              <w:rPr>
                <w:b/>
                <w:color w:val="000000"/>
                <w:sz w:val="18"/>
                <w:szCs w:val="18"/>
              </w:rPr>
              <w:t>2019</w:t>
            </w:r>
          </w:p>
        </w:tc>
        <w:tc>
          <w:tcPr>
            <w:tcW w:w="1764" w:type="dxa"/>
            <w:tcBorders>
              <w:left w:val="nil"/>
              <w:bottom w:val="single" w:sz="4" w:space="0" w:color="auto"/>
              <w:right w:val="nil"/>
            </w:tcBorders>
            <w:vAlign w:val="bottom"/>
          </w:tcPr>
          <w:p w14:paraId="74AE6641" w14:textId="77777777" w:rsidR="00DC7046" w:rsidRPr="00DC7046" w:rsidRDefault="00DC7046" w:rsidP="00DC7046">
            <w:pPr>
              <w:ind w:left="-108" w:right="68"/>
              <w:jc w:val="right"/>
              <w:rPr>
                <w:rFonts w:cs="Arial"/>
                <w:color w:val="000000"/>
                <w:sz w:val="18"/>
                <w:szCs w:val="18"/>
              </w:rPr>
            </w:pPr>
            <w:r w:rsidRPr="00DC7046">
              <w:rPr>
                <w:color w:val="000000"/>
                <w:sz w:val="18"/>
                <w:szCs w:val="18"/>
              </w:rPr>
              <w:t>2018</w:t>
            </w:r>
          </w:p>
        </w:tc>
      </w:tr>
      <w:tr w:rsidR="00DC7046" w:rsidRPr="00DC7046" w14:paraId="71929C65" w14:textId="77777777" w:rsidTr="00DC7046">
        <w:trPr>
          <w:trHeight w:val="227"/>
          <w:jc w:val="center"/>
        </w:trPr>
        <w:tc>
          <w:tcPr>
            <w:tcW w:w="5585" w:type="dxa"/>
            <w:tcBorders>
              <w:top w:val="single" w:sz="4" w:space="0" w:color="auto"/>
              <w:left w:val="nil"/>
              <w:bottom w:val="nil"/>
              <w:right w:val="nil"/>
            </w:tcBorders>
            <w:vAlign w:val="bottom"/>
          </w:tcPr>
          <w:p w14:paraId="47ED22F3" w14:textId="77777777" w:rsidR="00DC7046" w:rsidRPr="00DC7046" w:rsidRDefault="00DC7046" w:rsidP="00DC7046">
            <w:pPr>
              <w:ind w:left="5" w:right="-108" w:hanging="113"/>
              <w:rPr>
                <w:rFonts w:cs="Arial"/>
                <w:b/>
                <w:sz w:val="18"/>
                <w:szCs w:val="18"/>
              </w:rPr>
            </w:pPr>
            <w:r w:rsidRPr="00DC7046">
              <w:rPr>
                <w:b/>
                <w:sz w:val="18"/>
                <w:szCs w:val="18"/>
              </w:rPr>
              <w:t xml:space="preserve"> </w:t>
            </w:r>
          </w:p>
        </w:tc>
        <w:tc>
          <w:tcPr>
            <w:tcW w:w="634" w:type="dxa"/>
            <w:tcBorders>
              <w:top w:val="single" w:sz="4" w:space="0" w:color="auto"/>
              <w:left w:val="nil"/>
              <w:bottom w:val="nil"/>
              <w:right w:val="nil"/>
            </w:tcBorders>
            <w:vAlign w:val="bottom"/>
          </w:tcPr>
          <w:p w14:paraId="6F62A1EF" w14:textId="77777777" w:rsidR="00DC7046" w:rsidRPr="00DC7046" w:rsidRDefault="00DC7046" w:rsidP="00DC7046">
            <w:pPr>
              <w:ind w:left="-108" w:right="-108"/>
              <w:jc w:val="center"/>
              <w:rPr>
                <w:rFonts w:cs="Arial"/>
                <w:sz w:val="18"/>
                <w:szCs w:val="18"/>
                <w:lang w:val="ru-RU"/>
              </w:rPr>
            </w:pPr>
          </w:p>
        </w:tc>
        <w:tc>
          <w:tcPr>
            <w:tcW w:w="1764" w:type="dxa"/>
            <w:tcBorders>
              <w:top w:val="single" w:sz="4" w:space="0" w:color="auto"/>
              <w:left w:val="nil"/>
              <w:bottom w:val="nil"/>
              <w:right w:val="nil"/>
            </w:tcBorders>
            <w:vAlign w:val="bottom"/>
          </w:tcPr>
          <w:p w14:paraId="35EB4FFA" w14:textId="77777777" w:rsidR="00DC7046" w:rsidRPr="00DC7046" w:rsidRDefault="00DC704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418"/>
              </w:tabs>
              <w:spacing w:line="240" w:lineRule="auto"/>
              <w:ind w:left="0" w:firstLine="0"/>
              <w:jc w:val="left"/>
              <w:rPr>
                <w:rFonts w:ascii="Trebuchet MS" w:hAnsi="Trebuchet MS" w:cs="Arial"/>
                <w:b/>
                <w:szCs w:val="18"/>
                <w:lang w:val="ru-RU"/>
              </w:rPr>
            </w:pPr>
          </w:p>
        </w:tc>
        <w:tc>
          <w:tcPr>
            <w:tcW w:w="1764" w:type="dxa"/>
            <w:tcBorders>
              <w:top w:val="single" w:sz="4" w:space="0" w:color="auto"/>
              <w:left w:val="nil"/>
              <w:bottom w:val="nil"/>
              <w:right w:val="nil"/>
            </w:tcBorders>
            <w:vAlign w:val="bottom"/>
          </w:tcPr>
          <w:p w14:paraId="1F67F0EE" w14:textId="77777777" w:rsidR="00DC7046" w:rsidRPr="00DC7046" w:rsidRDefault="00DC7046" w:rsidP="00DC7046">
            <w:pPr>
              <w:pStyle w:val="TableofFigur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418"/>
              </w:tabs>
              <w:spacing w:line="240" w:lineRule="auto"/>
              <w:ind w:left="0" w:firstLine="0"/>
              <w:jc w:val="left"/>
              <w:rPr>
                <w:rFonts w:ascii="Trebuchet MS" w:hAnsi="Trebuchet MS" w:cs="Arial"/>
                <w:szCs w:val="18"/>
                <w:lang w:val="ru-RU"/>
              </w:rPr>
            </w:pPr>
          </w:p>
        </w:tc>
      </w:tr>
      <w:tr w:rsidR="00DC7046" w:rsidRPr="00DC7046" w14:paraId="23D01D15" w14:textId="77777777" w:rsidTr="00DC7046">
        <w:trPr>
          <w:trHeight w:val="227"/>
          <w:jc w:val="center"/>
        </w:trPr>
        <w:tc>
          <w:tcPr>
            <w:tcW w:w="5585" w:type="dxa"/>
            <w:tcBorders>
              <w:top w:val="nil"/>
              <w:left w:val="nil"/>
              <w:bottom w:val="nil"/>
              <w:right w:val="nil"/>
            </w:tcBorders>
            <w:vAlign w:val="bottom"/>
          </w:tcPr>
          <w:p w14:paraId="2086C8E7" w14:textId="33BB33A4" w:rsidR="00DC7046" w:rsidRPr="00DC7046" w:rsidRDefault="00DC7046" w:rsidP="00DC7046">
            <w:pPr>
              <w:ind w:left="5" w:right="-108" w:hanging="113"/>
              <w:rPr>
                <w:rFonts w:cs="Arial"/>
                <w:b/>
                <w:bCs/>
                <w:color w:val="000000"/>
                <w:sz w:val="18"/>
                <w:szCs w:val="18"/>
              </w:rPr>
            </w:pPr>
            <w:r>
              <w:rPr>
                <w:b/>
                <w:bCs/>
                <w:sz w:val="18"/>
                <w:szCs w:val="18"/>
              </w:rPr>
              <w:t>Cash flows from o</w:t>
            </w:r>
            <w:r w:rsidRPr="00DC7046">
              <w:rPr>
                <w:b/>
                <w:bCs/>
                <w:sz w:val="18"/>
                <w:szCs w:val="18"/>
              </w:rPr>
              <w:t>perating activities</w:t>
            </w:r>
          </w:p>
        </w:tc>
        <w:tc>
          <w:tcPr>
            <w:tcW w:w="634" w:type="dxa"/>
            <w:tcBorders>
              <w:top w:val="nil"/>
              <w:left w:val="nil"/>
              <w:bottom w:val="nil"/>
              <w:right w:val="nil"/>
            </w:tcBorders>
            <w:vAlign w:val="bottom"/>
          </w:tcPr>
          <w:p w14:paraId="6DD60348" w14:textId="77777777" w:rsidR="00DC7046" w:rsidRPr="00DC7046" w:rsidRDefault="00DC7046" w:rsidP="00DC7046">
            <w:pPr>
              <w:snapToGrid w:val="0"/>
              <w:ind w:left="-108" w:right="-108"/>
              <w:jc w:val="center"/>
              <w:rPr>
                <w:rFonts w:cs="Arial"/>
                <w:bCs/>
                <w:color w:val="000000"/>
                <w:sz w:val="18"/>
                <w:szCs w:val="18"/>
              </w:rPr>
            </w:pPr>
          </w:p>
        </w:tc>
        <w:tc>
          <w:tcPr>
            <w:tcW w:w="1764" w:type="dxa"/>
            <w:tcBorders>
              <w:top w:val="nil"/>
              <w:left w:val="nil"/>
              <w:bottom w:val="nil"/>
              <w:right w:val="nil"/>
            </w:tcBorders>
            <w:vAlign w:val="bottom"/>
          </w:tcPr>
          <w:p w14:paraId="4648D84B" w14:textId="77777777" w:rsidR="00DC7046" w:rsidRPr="00DC7046" w:rsidRDefault="00DC7046" w:rsidP="00DC7046">
            <w:pPr>
              <w:tabs>
                <w:tab w:val="decimal" w:pos="1418"/>
              </w:tabs>
              <w:snapToGrid w:val="0"/>
              <w:rPr>
                <w:rFonts w:cs="Arial"/>
                <w:b/>
                <w:bCs/>
                <w:color w:val="000000"/>
                <w:sz w:val="18"/>
                <w:szCs w:val="18"/>
              </w:rPr>
            </w:pPr>
          </w:p>
        </w:tc>
        <w:tc>
          <w:tcPr>
            <w:tcW w:w="1764" w:type="dxa"/>
            <w:tcBorders>
              <w:top w:val="nil"/>
              <w:left w:val="nil"/>
              <w:bottom w:val="nil"/>
              <w:right w:val="nil"/>
            </w:tcBorders>
            <w:vAlign w:val="bottom"/>
          </w:tcPr>
          <w:p w14:paraId="739E87E4" w14:textId="77777777" w:rsidR="00DC7046" w:rsidRPr="00DC7046" w:rsidRDefault="00DC7046" w:rsidP="00DC7046">
            <w:pPr>
              <w:tabs>
                <w:tab w:val="decimal" w:pos="1418"/>
              </w:tabs>
              <w:rPr>
                <w:rFonts w:cs="Arial"/>
                <w:b/>
                <w:bCs/>
                <w:color w:val="000000"/>
                <w:sz w:val="18"/>
                <w:szCs w:val="18"/>
                <w:lang w:val="en-US"/>
              </w:rPr>
            </w:pPr>
          </w:p>
        </w:tc>
      </w:tr>
      <w:tr w:rsidR="00DC7046" w:rsidRPr="00DC7046" w14:paraId="11EAF99B" w14:textId="77777777" w:rsidTr="00DC7046">
        <w:trPr>
          <w:trHeight w:val="227"/>
          <w:jc w:val="center"/>
        </w:trPr>
        <w:tc>
          <w:tcPr>
            <w:tcW w:w="5585" w:type="dxa"/>
            <w:tcBorders>
              <w:top w:val="nil"/>
              <w:left w:val="nil"/>
              <w:bottom w:val="nil"/>
              <w:right w:val="nil"/>
            </w:tcBorders>
            <w:vAlign w:val="bottom"/>
          </w:tcPr>
          <w:p w14:paraId="01F86DCC" w14:textId="09E3FFF8" w:rsidR="00DC7046" w:rsidRPr="00DC7046" w:rsidRDefault="00DC7046" w:rsidP="00DC7046">
            <w:pPr>
              <w:ind w:left="5" w:right="-108" w:hanging="113"/>
              <w:rPr>
                <w:rFonts w:cs="Arial"/>
                <w:b/>
                <w:bCs/>
                <w:color w:val="000000"/>
                <w:sz w:val="18"/>
                <w:szCs w:val="18"/>
              </w:rPr>
            </w:pPr>
            <w:r>
              <w:rPr>
                <w:sz w:val="18"/>
                <w:szCs w:val="18"/>
              </w:rPr>
              <w:t>Premiums received</w:t>
            </w:r>
          </w:p>
        </w:tc>
        <w:tc>
          <w:tcPr>
            <w:tcW w:w="634" w:type="dxa"/>
            <w:tcBorders>
              <w:top w:val="nil"/>
              <w:left w:val="nil"/>
              <w:bottom w:val="nil"/>
              <w:right w:val="nil"/>
            </w:tcBorders>
            <w:vAlign w:val="bottom"/>
          </w:tcPr>
          <w:p w14:paraId="3298E34F" w14:textId="77777777" w:rsidR="00DC7046" w:rsidRPr="00DC7046" w:rsidRDefault="00DC7046" w:rsidP="00DC7046">
            <w:pPr>
              <w:snapToGrid w:val="0"/>
              <w:ind w:left="-108" w:right="-108"/>
              <w:jc w:val="center"/>
              <w:rPr>
                <w:rFonts w:cs="Arial"/>
                <w:bCs/>
                <w:color w:val="000000"/>
                <w:sz w:val="18"/>
                <w:szCs w:val="18"/>
                <w:lang w:val="ru-RU"/>
              </w:rPr>
            </w:pPr>
          </w:p>
        </w:tc>
        <w:tc>
          <w:tcPr>
            <w:tcW w:w="1764" w:type="dxa"/>
            <w:tcBorders>
              <w:top w:val="nil"/>
              <w:left w:val="nil"/>
              <w:bottom w:val="nil"/>
              <w:right w:val="nil"/>
            </w:tcBorders>
            <w:shd w:val="clear" w:color="auto" w:fill="auto"/>
            <w:vAlign w:val="bottom"/>
          </w:tcPr>
          <w:p w14:paraId="2E550A05" w14:textId="584FD8A4"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19,572,006</w:t>
            </w:r>
          </w:p>
        </w:tc>
        <w:tc>
          <w:tcPr>
            <w:tcW w:w="1764" w:type="dxa"/>
            <w:tcBorders>
              <w:top w:val="nil"/>
              <w:left w:val="nil"/>
              <w:bottom w:val="nil"/>
              <w:right w:val="nil"/>
            </w:tcBorders>
            <w:vAlign w:val="bottom"/>
          </w:tcPr>
          <w:p w14:paraId="0F6E34C4" w14:textId="75E2D30E"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12,977,443</w:t>
            </w:r>
          </w:p>
        </w:tc>
      </w:tr>
      <w:tr w:rsidR="00DC7046" w:rsidRPr="00DC7046" w14:paraId="60E24D71" w14:textId="77777777" w:rsidTr="00DC7046">
        <w:trPr>
          <w:trHeight w:val="227"/>
          <w:jc w:val="center"/>
        </w:trPr>
        <w:tc>
          <w:tcPr>
            <w:tcW w:w="5585" w:type="dxa"/>
            <w:tcBorders>
              <w:top w:val="nil"/>
              <w:left w:val="nil"/>
              <w:bottom w:val="nil"/>
              <w:right w:val="nil"/>
            </w:tcBorders>
            <w:vAlign w:val="bottom"/>
          </w:tcPr>
          <w:p w14:paraId="7E765DD6" w14:textId="342CBA7D" w:rsidR="00DC7046" w:rsidRPr="00DC7046" w:rsidRDefault="00DC7046" w:rsidP="00DC7046">
            <w:pPr>
              <w:ind w:left="5" w:right="-108" w:hanging="113"/>
              <w:rPr>
                <w:rFonts w:cs="Arial"/>
                <w:sz w:val="18"/>
                <w:szCs w:val="18"/>
              </w:rPr>
            </w:pPr>
            <w:r>
              <w:rPr>
                <w:sz w:val="18"/>
                <w:szCs w:val="18"/>
              </w:rPr>
              <w:t>Premiums paid</w:t>
            </w:r>
          </w:p>
        </w:tc>
        <w:tc>
          <w:tcPr>
            <w:tcW w:w="634" w:type="dxa"/>
            <w:tcBorders>
              <w:top w:val="nil"/>
              <w:left w:val="nil"/>
              <w:bottom w:val="nil"/>
              <w:right w:val="nil"/>
            </w:tcBorders>
            <w:vAlign w:val="bottom"/>
          </w:tcPr>
          <w:p w14:paraId="1DFAD33B" w14:textId="77777777" w:rsidR="00DC7046" w:rsidRPr="00DC7046" w:rsidRDefault="00DC7046" w:rsidP="00DC7046">
            <w:pPr>
              <w:snapToGrid w:val="0"/>
              <w:ind w:left="-108" w:right="-108"/>
              <w:jc w:val="center"/>
              <w:rPr>
                <w:rFonts w:cs="Arial"/>
                <w:bCs/>
                <w:color w:val="000000"/>
                <w:sz w:val="18"/>
                <w:szCs w:val="18"/>
                <w:lang w:val="ru-RU"/>
              </w:rPr>
            </w:pPr>
          </w:p>
        </w:tc>
        <w:tc>
          <w:tcPr>
            <w:tcW w:w="1764" w:type="dxa"/>
            <w:tcBorders>
              <w:top w:val="nil"/>
              <w:left w:val="nil"/>
              <w:bottom w:val="nil"/>
              <w:right w:val="nil"/>
            </w:tcBorders>
            <w:shd w:val="clear" w:color="auto" w:fill="auto"/>
            <w:vAlign w:val="bottom"/>
          </w:tcPr>
          <w:p w14:paraId="3A8634E8" w14:textId="17F8BDDA"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(846,818)</w:t>
            </w:r>
          </w:p>
        </w:tc>
        <w:tc>
          <w:tcPr>
            <w:tcW w:w="1764" w:type="dxa"/>
            <w:tcBorders>
              <w:top w:val="nil"/>
              <w:left w:val="nil"/>
              <w:bottom w:val="nil"/>
              <w:right w:val="nil"/>
            </w:tcBorders>
            <w:vAlign w:val="bottom"/>
          </w:tcPr>
          <w:p w14:paraId="49A88425" w14:textId="1175B32A"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(503,160)</w:t>
            </w:r>
          </w:p>
        </w:tc>
      </w:tr>
      <w:tr w:rsidR="00DC7046" w:rsidRPr="00DC7046" w14:paraId="1051F143" w14:textId="77777777" w:rsidTr="00DC7046">
        <w:trPr>
          <w:trHeight w:val="227"/>
          <w:jc w:val="center"/>
        </w:trPr>
        <w:tc>
          <w:tcPr>
            <w:tcW w:w="5585" w:type="dxa"/>
            <w:tcBorders>
              <w:top w:val="nil"/>
              <w:left w:val="nil"/>
              <w:bottom w:val="nil"/>
              <w:right w:val="nil"/>
            </w:tcBorders>
            <w:vAlign w:val="bottom"/>
          </w:tcPr>
          <w:p w14:paraId="64C1C542" w14:textId="4FB4BB60" w:rsidR="00DC7046" w:rsidRPr="00DC7046" w:rsidRDefault="00DC7046" w:rsidP="00DC7046">
            <w:pPr>
              <w:ind w:left="5" w:right="-108" w:hanging="113"/>
              <w:rPr>
                <w:rFonts w:cs="Arial"/>
                <w:sz w:val="18"/>
                <w:szCs w:val="18"/>
              </w:rPr>
            </w:pPr>
            <w:r>
              <w:rPr>
                <w:sz w:val="18"/>
                <w:szCs w:val="18"/>
              </w:rPr>
              <w:t>Claims paid</w:t>
            </w:r>
          </w:p>
        </w:tc>
        <w:tc>
          <w:tcPr>
            <w:tcW w:w="634" w:type="dxa"/>
            <w:tcBorders>
              <w:top w:val="nil"/>
              <w:left w:val="nil"/>
              <w:bottom w:val="nil"/>
              <w:right w:val="nil"/>
            </w:tcBorders>
            <w:vAlign w:val="bottom"/>
          </w:tcPr>
          <w:p w14:paraId="78B973AD" w14:textId="77777777" w:rsidR="00DC7046" w:rsidRPr="00DC7046" w:rsidRDefault="00DC7046" w:rsidP="00DC7046">
            <w:pPr>
              <w:snapToGrid w:val="0"/>
              <w:ind w:left="-108" w:right="-108"/>
              <w:jc w:val="center"/>
              <w:rPr>
                <w:rFonts w:cs="Arial"/>
                <w:bCs/>
                <w:color w:val="000000"/>
                <w:sz w:val="18"/>
                <w:szCs w:val="18"/>
                <w:lang w:val="ru-RU"/>
              </w:rPr>
            </w:pPr>
          </w:p>
        </w:tc>
        <w:tc>
          <w:tcPr>
            <w:tcW w:w="1764" w:type="dxa"/>
            <w:tcBorders>
              <w:top w:val="nil"/>
              <w:left w:val="nil"/>
              <w:bottom w:val="nil"/>
              <w:right w:val="nil"/>
            </w:tcBorders>
            <w:shd w:val="clear" w:color="auto" w:fill="auto"/>
            <w:vAlign w:val="bottom"/>
          </w:tcPr>
          <w:p w14:paraId="7D97B9F7" w14:textId="58FDB351"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(8,445,716)</w:t>
            </w:r>
          </w:p>
        </w:tc>
        <w:tc>
          <w:tcPr>
            <w:tcW w:w="1764" w:type="dxa"/>
            <w:tcBorders>
              <w:top w:val="nil"/>
              <w:left w:val="nil"/>
              <w:bottom w:val="nil"/>
              <w:right w:val="nil"/>
            </w:tcBorders>
            <w:vAlign w:val="bottom"/>
          </w:tcPr>
          <w:p w14:paraId="40C63E54" w14:textId="6A4AAC97"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(7,831,619)</w:t>
            </w:r>
          </w:p>
        </w:tc>
      </w:tr>
      <w:tr w:rsidR="00DC7046" w:rsidRPr="00DC7046" w14:paraId="7BD8159C" w14:textId="77777777" w:rsidTr="00DC7046">
        <w:trPr>
          <w:trHeight w:val="227"/>
          <w:jc w:val="center"/>
        </w:trPr>
        <w:tc>
          <w:tcPr>
            <w:tcW w:w="5585" w:type="dxa"/>
            <w:tcBorders>
              <w:top w:val="nil"/>
              <w:left w:val="nil"/>
              <w:bottom w:val="nil"/>
              <w:right w:val="nil"/>
            </w:tcBorders>
            <w:vAlign w:val="bottom"/>
          </w:tcPr>
          <w:p w14:paraId="32A15B87" w14:textId="3AD01668" w:rsidR="00DC7046" w:rsidRPr="00DC7046" w:rsidRDefault="00DC7046" w:rsidP="00DC7046">
            <w:pPr>
              <w:ind w:left="5" w:right="-108" w:hanging="113"/>
              <w:rPr>
                <w:rFonts w:cs="Arial"/>
                <w:color w:val="000000"/>
                <w:sz w:val="18"/>
                <w:szCs w:val="18"/>
              </w:rPr>
            </w:pPr>
            <w:r>
              <w:rPr>
                <w:sz w:val="18"/>
                <w:szCs w:val="18"/>
              </w:rPr>
              <w:t>Reinsurance benefits received</w:t>
            </w:r>
          </w:p>
        </w:tc>
        <w:tc>
          <w:tcPr>
            <w:tcW w:w="634" w:type="dxa"/>
            <w:tcBorders>
              <w:top w:val="nil"/>
              <w:left w:val="nil"/>
              <w:bottom w:val="nil"/>
              <w:right w:val="nil"/>
            </w:tcBorders>
            <w:vAlign w:val="bottom"/>
          </w:tcPr>
          <w:p w14:paraId="734108C1" w14:textId="77777777" w:rsidR="00DC7046" w:rsidRPr="00DC7046" w:rsidRDefault="00DC7046" w:rsidP="00DC7046">
            <w:pPr>
              <w:snapToGrid w:val="0"/>
              <w:ind w:left="-108" w:right="-108"/>
              <w:jc w:val="center"/>
              <w:rPr>
                <w:rFonts w:cs="Arial"/>
                <w:color w:val="000000"/>
                <w:sz w:val="18"/>
                <w:szCs w:val="18"/>
                <w:lang w:val="ru-RU"/>
              </w:rPr>
            </w:pPr>
          </w:p>
        </w:tc>
        <w:tc>
          <w:tcPr>
            <w:tcW w:w="1764" w:type="dxa"/>
            <w:tcBorders>
              <w:top w:val="nil"/>
              <w:left w:val="nil"/>
              <w:bottom w:val="nil"/>
              <w:right w:val="nil"/>
            </w:tcBorders>
            <w:shd w:val="clear" w:color="auto" w:fill="auto"/>
            <w:vAlign w:val="bottom"/>
          </w:tcPr>
          <w:p w14:paraId="20F9D597" w14:textId="50811DB6"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39,420</w:t>
            </w:r>
          </w:p>
        </w:tc>
        <w:tc>
          <w:tcPr>
            <w:tcW w:w="1764" w:type="dxa"/>
            <w:tcBorders>
              <w:top w:val="nil"/>
              <w:left w:val="nil"/>
              <w:bottom w:val="nil"/>
              <w:right w:val="nil"/>
            </w:tcBorders>
            <w:vAlign w:val="bottom"/>
          </w:tcPr>
          <w:p w14:paraId="2B83D6E7" w14:textId="6FAD1268"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94,660</w:t>
            </w:r>
          </w:p>
        </w:tc>
      </w:tr>
      <w:tr w:rsidR="00DC7046" w:rsidRPr="00DC7046" w14:paraId="47CA62F2" w14:textId="77777777" w:rsidTr="00DC7046">
        <w:trPr>
          <w:trHeight w:val="227"/>
          <w:jc w:val="center"/>
        </w:trPr>
        <w:tc>
          <w:tcPr>
            <w:tcW w:w="5585" w:type="dxa"/>
            <w:tcBorders>
              <w:left w:val="nil"/>
              <w:right w:val="nil"/>
            </w:tcBorders>
            <w:vAlign w:val="bottom"/>
          </w:tcPr>
          <w:p w14:paraId="2BC1FCA1" w14:textId="000F2669" w:rsidR="00DC7046" w:rsidRPr="00DC7046" w:rsidRDefault="00DC7046" w:rsidP="00DC7046">
            <w:pPr>
              <w:ind w:left="5" w:right="-108" w:hanging="113"/>
              <w:rPr>
                <w:rFonts w:cs="Arial"/>
                <w:color w:val="000000"/>
                <w:sz w:val="18"/>
                <w:szCs w:val="18"/>
              </w:rPr>
            </w:pPr>
            <w:r>
              <w:rPr>
                <w:sz w:val="18"/>
                <w:szCs w:val="18"/>
              </w:rPr>
              <w:t>Operating expenses paid</w:t>
            </w:r>
          </w:p>
        </w:tc>
        <w:tc>
          <w:tcPr>
            <w:tcW w:w="634" w:type="dxa"/>
            <w:tcBorders>
              <w:left w:val="nil"/>
              <w:right w:val="nil"/>
            </w:tcBorders>
            <w:vAlign w:val="bottom"/>
          </w:tcPr>
          <w:p w14:paraId="4C05892D" w14:textId="77777777" w:rsidR="00DC7046" w:rsidRPr="00DC7046" w:rsidRDefault="00DC7046" w:rsidP="00DC7046">
            <w:pPr>
              <w:snapToGrid w:val="0"/>
              <w:ind w:left="-108" w:right="-108"/>
              <w:jc w:val="center"/>
              <w:rPr>
                <w:rFonts w:cs="Arial"/>
                <w:color w:val="000000"/>
                <w:sz w:val="18"/>
                <w:szCs w:val="18"/>
              </w:rPr>
            </w:pPr>
          </w:p>
        </w:tc>
        <w:tc>
          <w:tcPr>
            <w:tcW w:w="1764" w:type="dxa"/>
            <w:tcBorders>
              <w:left w:val="nil"/>
              <w:right w:val="nil"/>
            </w:tcBorders>
            <w:shd w:val="clear" w:color="auto" w:fill="auto"/>
            <w:vAlign w:val="bottom"/>
          </w:tcPr>
          <w:p w14:paraId="0B6C5147" w14:textId="4B3B773D"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(1,964,712)</w:t>
            </w:r>
          </w:p>
        </w:tc>
        <w:tc>
          <w:tcPr>
            <w:tcW w:w="1764" w:type="dxa"/>
            <w:tcBorders>
              <w:left w:val="nil"/>
              <w:right w:val="nil"/>
            </w:tcBorders>
            <w:vAlign w:val="bottom"/>
          </w:tcPr>
          <w:p w14:paraId="5576C0AC" w14:textId="375E4AB7"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(1,714,049)</w:t>
            </w:r>
          </w:p>
        </w:tc>
      </w:tr>
      <w:tr w:rsidR="00DC7046" w:rsidRPr="00DC7046" w14:paraId="375E813F" w14:textId="77777777" w:rsidTr="00DC7046">
        <w:trPr>
          <w:trHeight w:val="227"/>
          <w:jc w:val="center"/>
        </w:trPr>
        <w:tc>
          <w:tcPr>
            <w:tcW w:w="5585" w:type="dxa"/>
            <w:tcBorders>
              <w:left w:val="nil"/>
              <w:right w:val="nil"/>
            </w:tcBorders>
            <w:vAlign w:val="bottom"/>
          </w:tcPr>
          <w:p w14:paraId="638BA658" w14:textId="2FD7498B" w:rsidR="00DC7046" w:rsidRPr="00DC7046" w:rsidRDefault="00DC7046" w:rsidP="00DC7046">
            <w:pPr>
              <w:ind w:left="5" w:right="-108" w:hanging="113"/>
              <w:rPr>
                <w:sz w:val="18"/>
                <w:szCs w:val="18"/>
              </w:rPr>
            </w:pPr>
            <w:r>
              <w:rPr>
                <w:sz w:val="18"/>
                <w:szCs w:val="18"/>
              </w:rPr>
              <w:t>Commission paid</w:t>
            </w:r>
          </w:p>
        </w:tc>
        <w:tc>
          <w:tcPr>
            <w:tcW w:w="634" w:type="dxa"/>
            <w:tcBorders>
              <w:left w:val="nil"/>
              <w:right w:val="nil"/>
            </w:tcBorders>
            <w:vAlign w:val="bottom"/>
          </w:tcPr>
          <w:p w14:paraId="7F7977E0" w14:textId="77777777" w:rsidR="00DC7046" w:rsidRPr="00DC7046" w:rsidRDefault="00DC7046" w:rsidP="00DC7046">
            <w:pPr>
              <w:snapToGrid w:val="0"/>
              <w:ind w:left="-108" w:right="-108"/>
              <w:jc w:val="center"/>
              <w:rPr>
                <w:rFonts w:cs="Arial"/>
                <w:color w:val="000000"/>
                <w:sz w:val="18"/>
                <w:szCs w:val="18"/>
              </w:rPr>
            </w:pPr>
          </w:p>
        </w:tc>
        <w:tc>
          <w:tcPr>
            <w:tcW w:w="1764" w:type="dxa"/>
            <w:tcBorders>
              <w:left w:val="nil"/>
              <w:right w:val="nil"/>
            </w:tcBorders>
            <w:shd w:val="clear" w:color="auto" w:fill="auto"/>
            <w:vAlign w:val="bottom"/>
          </w:tcPr>
          <w:p w14:paraId="71F8BA84" w14:textId="2B173F32"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(422,214)</w:t>
            </w:r>
          </w:p>
        </w:tc>
        <w:tc>
          <w:tcPr>
            <w:tcW w:w="1764" w:type="dxa"/>
            <w:tcBorders>
              <w:left w:val="nil"/>
              <w:right w:val="nil"/>
            </w:tcBorders>
            <w:vAlign w:val="bottom"/>
          </w:tcPr>
          <w:p w14:paraId="6E185AC1" w14:textId="06B7EA24"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(115,059)</w:t>
            </w:r>
          </w:p>
        </w:tc>
      </w:tr>
      <w:tr w:rsidR="00DC7046" w:rsidRPr="00DC7046" w14:paraId="63D93B91" w14:textId="77777777" w:rsidTr="00DC7046">
        <w:trPr>
          <w:trHeight w:val="227"/>
          <w:jc w:val="center"/>
        </w:trPr>
        <w:tc>
          <w:tcPr>
            <w:tcW w:w="5585" w:type="dxa"/>
            <w:tcBorders>
              <w:top w:val="nil"/>
              <w:left w:val="nil"/>
              <w:right w:val="nil"/>
            </w:tcBorders>
            <w:vAlign w:val="bottom"/>
          </w:tcPr>
          <w:p w14:paraId="3A42BD4C" w14:textId="57896664" w:rsidR="00DC7046" w:rsidRPr="00DC7046" w:rsidRDefault="00DC7046" w:rsidP="00DC7046">
            <w:pPr>
              <w:ind w:left="5" w:right="-108" w:hanging="113"/>
              <w:rPr>
                <w:rFonts w:cs="Arial"/>
                <w:color w:val="000000"/>
                <w:sz w:val="18"/>
                <w:szCs w:val="18"/>
              </w:rPr>
            </w:pPr>
            <w:r>
              <w:rPr>
                <w:sz w:val="18"/>
                <w:szCs w:val="18"/>
              </w:rPr>
              <w:t>Interest received</w:t>
            </w:r>
            <w:r w:rsidRPr="00DC7046">
              <w:rPr>
                <w:sz w:val="18"/>
                <w:szCs w:val="18"/>
              </w:rPr>
              <w:t xml:space="preserve"> </w:t>
            </w:r>
          </w:p>
        </w:tc>
        <w:tc>
          <w:tcPr>
            <w:tcW w:w="634" w:type="dxa"/>
            <w:tcBorders>
              <w:top w:val="nil"/>
              <w:left w:val="nil"/>
              <w:right w:val="nil"/>
            </w:tcBorders>
            <w:vAlign w:val="bottom"/>
          </w:tcPr>
          <w:p w14:paraId="2D64EF37" w14:textId="77777777" w:rsidR="00DC7046" w:rsidRPr="00DC7046" w:rsidRDefault="00DC7046" w:rsidP="00DC7046">
            <w:pPr>
              <w:snapToGrid w:val="0"/>
              <w:ind w:left="-108" w:right="-108"/>
              <w:jc w:val="center"/>
              <w:rPr>
                <w:rFonts w:cs="Arial"/>
                <w:color w:val="000000"/>
                <w:sz w:val="18"/>
                <w:szCs w:val="18"/>
                <w:lang w:val="en-US"/>
              </w:rPr>
            </w:pPr>
          </w:p>
        </w:tc>
        <w:tc>
          <w:tcPr>
            <w:tcW w:w="1764" w:type="dxa"/>
            <w:tcBorders>
              <w:top w:val="nil"/>
              <w:left w:val="nil"/>
              <w:right w:val="nil"/>
            </w:tcBorders>
            <w:shd w:val="clear" w:color="auto" w:fill="auto"/>
            <w:vAlign w:val="bottom"/>
          </w:tcPr>
          <w:p w14:paraId="1439EC52" w14:textId="7644EBF5"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233,570</w:t>
            </w:r>
          </w:p>
        </w:tc>
        <w:tc>
          <w:tcPr>
            <w:tcW w:w="1764" w:type="dxa"/>
            <w:tcBorders>
              <w:top w:val="nil"/>
              <w:left w:val="nil"/>
              <w:right w:val="nil"/>
            </w:tcBorders>
            <w:vAlign w:val="bottom"/>
          </w:tcPr>
          <w:p w14:paraId="0D2BC961" w14:textId="7D18D22E"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281,780</w:t>
            </w:r>
          </w:p>
        </w:tc>
      </w:tr>
      <w:tr w:rsidR="00DC7046" w:rsidRPr="00DC7046" w14:paraId="4A60C118" w14:textId="77777777" w:rsidTr="00DC7046">
        <w:trPr>
          <w:trHeight w:val="227"/>
          <w:jc w:val="center"/>
        </w:trPr>
        <w:tc>
          <w:tcPr>
            <w:tcW w:w="5585" w:type="dxa"/>
            <w:tcBorders>
              <w:left w:val="nil"/>
              <w:right w:val="nil"/>
            </w:tcBorders>
            <w:vAlign w:val="bottom"/>
          </w:tcPr>
          <w:p w14:paraId="1FCF25C2" w14:textId="1E83368E" w:rsidR="00DC7046" w:rsidRPr="00DC7046" w:rsidRDefault="00DC7046" w:rsidP="00DC7046">
            <w:pPr>
              <w:ind w:left="5" w:right="-108" w:hanging="113"/>
              <w:rPr>
                <w:rFonts w:cs="Arial"/>
                <w:color w:val="000000"/>
                <w:sz w:val="18"/>
                <w:szCs w:val="18"/>
              </w:rPr>
            </w:pPr>
            <w:r>
              <w:rPr>
                <w:sz w:val="18"/>
                <w:szCs w:val="18"/>
              </w:rPr>
              <w:t>Income tax paid</w:t>
            </w:r>
          </w:p>
        </w:tc>
        <w:tc>
          <w:tcPr>
            <w:tcW w:w="634" w:type="dxa"/>
            <w:tcBorders>
              <w:left w:val="nil"/>
              <w:right w:val="nil"/>
            </w:tcBorders>
            <w:vAlign w:val="bottom"/>
          </w:tcPr>
          <w:p w14:paraId="68E85585" w14:textId="77777777" w:rsidR="00DC7046" w:rsidRPr="00DC7046" w:rsidRDefault="00DC7046" w:rsidP="00DC7046">
            <w:pPr>
              <w:snapToGrid w:val="0"/>
              <w:ind w:left="-108" w:right="-108"/>
              <w:jc w:val="center"/>
              <w:rPr>
                <w:rFonts w:cs="Arial"/>
                <w:color w:val="000000"/>
                <w:sz w:val="18"/>
                <w:szCs w:val="18"/>
              </w:rPr>
            </w:pPr>
          </w:p>
        </w:tc>
        <w:tc>
          <w:tcPr>
            <w:tcW w:w="1764" w:type="dxa"/>
            <w:tcBorders>
              <w:left w:val="nil"/>
              <w:right w:val="nil"/>
            </w:tcBorders>
            <w:shd w:val="clear" w:color="auto" w:fill="auto"/>
            <w:vAlign w:val="bottom"/>
          </w:tcPr>
          <w:p w14:paraId="3425CB8C" w14:textId="25EED7D9"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(628,642)</w:t>
            </w:r>
          </w:p>
        </w:tc>
        <w:tc>
          <w:tcPr>
            <w:tcW w:w="1764" w:type="dxa"/>
            <w:tcBorders>
              <w:left w:val="nil"/>
              <w:right w:val="nil"/>
            </w:tcBorders>
            <w:vAlign w:val="bottom"/>
          </w:tcPr>
          <w:p w14:paraId="28FE99D8" w14:textId="67BF10B0"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(20)</w:t>
            </w:r>
          </w:p>
        </w:tc>
      </w:tr>
      <w:tr w:rsidR="00DC7046" w:rsidRPr="00DC7046" w14:paraId="2DE2452D" w14:textId="77777777" w:rsidTr="00DC7046">
        <w:trPr>
          <w:trHeight w:val="227"/>
          <w:jc w:val="center"/>
        </w:trPr>
        <w:tc>
          <w:tcPr>
            <w:tcW w:w="5585" w:type="dxa"/>
            <w:tcBorders>
              <w:top w:val="nil"/>
              <w:left w:val="nil"/>
              <w:bottom w:val="single" w:sz="4" w:space="0" w:color="auto"/>
              <w:right w:val="nil"/>
            </w:tcBorders>
            <w:vAlign w:val="bottom"/>
          </w:tcPr>
          <w:p w14:paraId="7CDC9673" w14:textId="263C4788" w:rsidR="00DC7046" w:rsidRPr="00DC7046" w:rsidRDefault="00DC7046" w:rsidP="00DC7046">
            <w:pPr>
              <w:ind w:left="5" w:right="-108" w:hanging="113"/>
              <w:rPr>
                <w:rFonts w:cs="Arial"/>
                <w:color w:val="000000"/>
                <w:sz w:val="18"/>
                <w:szCs w:val="18"/>
              </w:rPr>
            </w:pPr>
            <w:r w:rsidRPr="00DC7046">
              <w:rPr>
                <w:sz w:val="18"/>
                <w:szCs w:val="18"/>
              </w:rPr>
              <w:t xml:space="preserve">Other </w:t>
            </w:r>
            <w:r>
              <w:rPr>
                <w:sz w:val="18"/>
                <w:szCs w:val="18"/>
              </w:rPr>
              <w:t>income received</w:t>
            </w:r>
          </w:p>
        </w:tc>
        <w:tc>
          <w:tcPr>
            <w:tcW w:w="634" w:type="dxa"/>
            <w:tcBorders>
              <w:top w:val="nil"/>
              <w:left w:val="nil"/>
              <w:bottom w:val="single" w:sz="4" w:space="0" w:color="auto"/>
              <w:right w:val="nil"/>
            </w:tcBorders>
            <w:vAlign w:val="bottom"/>
          </w:tcPr>
          <w:p w14:paraId="3584A6B9" w14:textId="77777777" w:rsidR="00DC7046" w:rsidRPr="00DC7046" w:rsidRDefault="00DC7046" w:rsidP="00DC7046">
            <w:pPr>
              <w:snapToGrid w:val="0"/>
              <w:ind w:left="-108" w:right="-108"/>
              <w:jc w:val="center"/>
              <w:rPr>
                <w:rFonts w:cs="Arial"/>
                <w:color w:val="000000"/>
                <w:sz w:val="18"/>
                <w:szCs w:val="18"/>
                <w:lang w:val="ru-RU"/>
              </w:rPr>
            </w:pPr>
          </w:p>
        </w:tc>
        <w:tc>
          <w:tcPr>
            <w:tcW w:w="1764" w:type="dxa"/>
            <w:tcBorders>
              <w:top w:val="nil"/>
              <w:left w:val="nil"/>
              <w:bottom w:val="single" w:sz="4" w:space="0" w:color="auto"/>
              <w:right w:val="nil"/>
            </w:tcBorders>
            <w:shd w:val="clear" w:color="auto" w:fill="auto"/>
            <w:vAlign w:val="bottom"/>
          </w:tcPr>
          <w:p w14:paraId="3CFCE53E" w14:textId="37C56A0E" w:rsidR="00DC7046" w:rsidRPr="00DC7046" w:rsidRDefault="003E68E4" w:rsidP="003E68E4">
            <w:pPr>
              <w:tabs>
                <w:tab w:val="decimal" w:pos="1418"/>
              </w:tabs>
              <w:jc w:val="right"/>
              <w:rPr>
                <w:rFonts w:cs="Arial"/>
                <w:b/>
                <w:bCs/>
                <w:color w:val="000000"/>
                <w:sz w:val="18"/>
                <w:szCs w:val="18"/>
              </w:rPr>
            </w:pPr>
            <w:r>
              <w:rPr>
                <w:rFonts w:cs="Arial"/>
                <w:b/>
                <w:bCs/>
                <w:color w:val="000000"/>
                <w:sz w:val="18"/>
                <w:szCs w:val="18"/>
              </w:rPr>
              <w:t>31,227</w:t>
            </w:r>
          </w:p>
        </w:tc>
        <w:tc>
          <w:tcPr>
            <w:tcW w:w="1764" w:type="dxa"/>
            <w:tcBorders>
              <w:top w:val="nil"/>
              <w:left w:val="nil"/>
              <w:bottom w:val="single" w:sz="4" w:space="0" w:color="auto"/>
              <w:right w:val="nil"/>
            </w:tcBorders>
            <w:vAlign w:val="bottom"/>
          </w:tcPr>
          <w:p w14:paraId="4CF353CA" w14:textId="79969D2D"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27,834</w:t>
            </w:r>
          </w:p>
        </w:tc>
      </w:tr>
      <w:tr w:rsidR="00DC7046" w:rsidRPr="00DC7046" w14:paraId="418F2B16" w14:textId="77777777" w:rsidTr="00DC7046">
        <w:trPr>
          <w:trHeight w:val="227"/>
          <w:jc w:val="center"/>
        </w:trPr>
        <w:tc>
          <w:tcPr>
            <w:tcW w:w="5585" w:type="dxa"/>
            <w:tcBorders>
              <w:top w:val="single" w:sz="4" w:space="0" w:color="auto"/>
              <w:left w:val="nil"/>
              <w:bottom w:val="single" w:sz="4" w:space="0" w:color="auto"/>
              <w:right w:val="nil"/>
            </w:tcBorders>
            <w:vAlign w:val="bottom"/>
          </w:tcPr>
          <w:p w14:paraId="5C848C30" w14:textId="205A54F4" w:rsidR="00DC7046" w:rsidRPr="00DC7046" w:rsidRDefault="00DC7046" w:rsidP="00DC7046">
            <w:pPr>
              <w:ind w:left="5" w:right="-108" w:hanging="113"/>
              <w:rPr>
                <w:rFonts w:cs="Arial"/>
                <w:b/>
                <w:bCs/>
                <w:color w:val="000000"/>
                <w:sz w:val="18"/>
                <w:szCs w:val="18"/>
              </w:rPr>
            </w:pPr>
            <w:r w:rsidRPr="00DC7046">
              <w:rPr>
                <w:b/>
                <w:bCs/>
                <w:sz w:val="18"/>
                <w:szCs w:val="18"/>
              </w:rPr>
              <w:t xml:space="preserve">Net cash </w:t>
            </w:r>
            <w:r>
              <w:rPr>
                <w:b/>
                <w:bCs/>
                <w:sz w:val="18"/>
                <w:szCs w:val="18"/>
              </w:rPr>
              <w:t>in</w:t>
            </w:r>
            <w:r w:rsidRPr="00DC7046">
              <w:rPr>
                <w:b/>
                <w:bCs/>
                <w:sz w:val="18"/>
                <w:szCs w:val="18"/>
              </w:rPr>
              <w:t>flow</w:t>
            </w:r>
            <w:r>
              <w:rPr>
                <w:b/>
                <w:bCs/>
                <w:sz w:val="18"/>
                <w:szCs w:val="18"/>
              </w:rPr>
              <w:t>/(outflow)</w:t>
            </w:r>
            <w:r w:rsidRPr="00DC7046">
              <w:rPr>
                <w:b/>
                <w:bCs/>
                <w:sz w:val="18"/>
                <w:szCs w:val="18"/>
              </w:rPr>
              <w:t xml:space="preserve"> </w:t>
            </w:r>
            <w:r>
              <w:rPr>
                <w:b/>
                <w:bCs/>
                <w:sz w:val="18"/>
                <w:szCs w:val="18"/>
              </w:rPr>
              <w:t>from</w:t>
            </w:r>
            <w:r w:rsidRPr="00DC7046">
              <w:rPr>
                <w:b/>
                <w:bCs/>
                <w:sz w:val="18"/>
                <w:szCs w:val="18"/>
              </w:rPr>
              <w:t xml:space="preserve"> operating activities</w:t>
            </w:r>
          </w:p>
        </w:tc>
        <w:tc>
          <w:tcPr>
            <w:tcW w:w="634" w:type="dxa"/>
            <w:tcBorders>
              <w:top w:val="single" w:sz="4" w:space="0" w:color="auto"/>
              <w:left w:val="nil"/>
              <w:bottom w:val="single" w:sz="4" w:space="0" w:color="auto"/>
              <w:right w:val="nil"/>
            </w:tcBorders>
            <w:vAlign w:val="bottom"/>
          </w:tcPr>
          <w:p w14:paraId="6402FA28" w14:textId="77777777" w:rsidR="00DC7046" w:rsidRPr="00DC7046" w:rsidRDefault="00DC7046" w:rsidP="00DC7046">
            <w:pPr>
              <w:snapToGrid w:val="0"/>
              <w:ind w:left="-108" w:right="-108"/>
              <w:jc w:val="center"/>
              <w:rPr>
                <w:rFonts w:cs="Arial"/>
                <w:bCs/>
                <w:color w:val="000000"/>
                <w:sz w:val="18"/>
                <w:szCs w:val="18"/>
                <w:lang w:val="en-US"/>
              </w:rPr>
            </w:pPr>
          </w:p>
        </w:tc>
        <w:tc>
          <w:tcPr>
            <w:tcW w:w="1764" w:type="dxa"/>
            <w:tcBorders>
              <w:top w:val="single" w:sz="4" w:space="0" w:color="auto"/>
              <w:left w:val="nil"/>
              <w:bottom w:val="single" w:sz="4" w:space="0" w:color="auto"/>
              <w:right w:val="nil"/>
            </w:tcBorders>
            <w:shd w:val="clear" w:color="auto" w:fill="auto"/>
            <w:vAlign w:val="bottom"/>
          </w:tcPr>
          <w:p w14:paraId="6143BFDF" w14:textId="7671F0FA" w:rsidR="00DC7046" w:rsidRPr="00DC7046" w:rsidRDefault="001D67A5" w:rsidP="003E68E4">
            <w:pPr>
              <w:tabs>
                <w:tab w:val="decimal" w:pos="1418"/>
              </w:tabs>
              <w:jc w:val="right"/>
              <w:rPr>
                <w:rFonts w:cs="Arial"/>
                <w:b/>
                <w:bCs/>
                <w:color w:val="000000"/>
                <w:sz w:val="18"/>
                <w:szCs w:val="18"/>
              </w:rPr>
            </w:pPr>
            <w:r>
              <w:rPr>
                <w:rFonts w:cs="Arial"/>
                <w:b/>
                <w:bCs/>
                <w:color w:val="000000"/>
                <w:sz w:val="18"/>
                <w:szCs w:val="18"/>
              </w:rPr>
              <w:t>7,568,121</w:t>
            </w:r>
          </w:p>
        </w:tc>
        <w:tc>
          <w:tcPr>
            <w:tcW w:w="1764" w:type="dxa"/>
            <w:tcBorders>
              <w:top w:val="single" w:sz="4" w:space="0" w:color="auto"/>
              <w:left w:val="nil"/>
              <w:bottom w:val="single" w:sz="4" w:space="0" w:color="auto"/>
              <w:right w:val="nil"/>
            </w:tcBorders>
            <w:vAlign w:val="bottom"/>
          </w:tcPr>
          <w:p w14:paraId="7F24CB10" w14:textId="0B6169E0"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3,217,810</w:t>
            </w:r>
          </w:p>
        </w:tc>
      </w:tr>
      <w:tr w:rsidR="00DC7046" w:rsidRPr="00DC7046" w14:paraId="43235521" w14:textId="77777777" w:rsidTr="00DC7046">
        <w:trPr>
          <w:trHeight w:val="227"/>
          <w:jc w:val="center"/>
        </w:trPr>
        <w:tc>
          <w:tcPr>
            <w:tcW w:w="5585" w:type="dxa"/>
            <w:tcBorders>
              <w:top w:val="single" w:sz="4" w:space="0" w:color="auto"/>
              <w:left w:val="nil"/>
              <w:right w:val="nil"/>
            </w:tcBorders>
            <w:vAlign w:val="bottom"/>
          </w:tcPr>
          <w:p w14:paraId="2C74B1A7" w14:textId="77777777" w:rsidR="00DC7046" w:rsidRPr="00DC7046" w:rsidRDefault="00DC7046" w:rsidP="00DC7046">
            <w:pPr>
              <w:ind w:left="5" w:right="-108" w:hanging="113"/>
              <w:rPr>
                <w:rFonts w:cs="Arial"/>
                <w:b/>
                <w:bCs/>
                <w:sz w:val="18"/>
                <w:szCs w:val="18"/>
              </w:rPr>
            </w:pPr>
            <w:r w:rsidRPr="00DC7046">
              <w:rPr>
                <w:b/>
                <w:bCs/>
                <w:sz w:val="18"/>
                <w:szCs w:val="18"/>
              </w:rPr>
              <w:t xml:space="preserve"> </w:t>
            </w:r>
          </w:p>
        </w:tc>
        <w:tc>
          <w:tcPr>
            <w:tcW w:w="634" w:type="dxa"/>
            <w:tcBorders>
              <w:top w:val="single" w:sz="4" w:space="0" w:color="auto"/>
              <w:left w:val="nil"/>
              <w:right w:val="nil"/>
            </w:tcBorders>
            <w:vAlign w:val="bottom"/>
          </w:tcPr>
          <w:p w14:paraId="13D01229" w14:textId="77777777" w:rsidR="00DC7046" w:rsidRPr="00DC7046" w:rsidRDefault="00DC7046" w:rsidP="00DC7046">
            <w:pPr>
              <w:snapToGrid w:val="0"/>
              <w:ind w:left="-108" w:right="-108"/>
              <w:jc w:val="center"/>
              <w:rPr>
                <w:rFonts w:cs="Arial"/>
                <w:bCs/>
                <w:color w:val="000000"/>
                <w:sz w:val="18"/>
                <w:szCs w:val="18"/>
              </w:rPr>
            </w:pPr>
          </w:p>
        </w:tc>
        <w:tc>
          <w:tcPr>
            <w:tcW w:w="1764" w:type="dxa"/>
            <w:tcBorders>
              <w:top w:val="single" w:sz="4" w:space="0" w:color="auto"/>
              <w:left w:val="nil"/>
              <w:right w:val="nil"/>
            </w:tcBorders>
            <w:shd w:val="clear" w:color="auto" w:fill="auto"/>
            <w:vAlign w:val="bottom"/>
          </w:tcPr>
          <w:p w14:paraId="3055751B" w14:textId="77777777" w:rsidR="00DC7046" w:rsidRPr="001D67A5" w:rsidRDefault="00DC7046" w:rsidP="003E68E4">
            <w:pPr>
              <w:tabs>
                <w:tab w:val="decimal" w:pos="1418"/>
              </w:tabs>
              <w:jc w:val="right"/>
              <w:rPr>
                <w:rFonts w:cs="Arial"/>
                <w:b/>
                <w:bCs/>
                <w:color w:val="000000"/>
                <w:sz w:val="18"/>
                <w:szCs w:val="18"/>
                <w:highlight w:val="yellow"/>
                <w:lang w:val="ru-RU"/>
              </w:rPr>
            </w:pPr>
          </w:p>
        </w:tc>
        <w:tc>
          <w:tcPr>
            <w:tcW w:w="1764" w:type="dxa"/>
            <w:tcBorders>
              <w:top w:val="single" w:sz="4" w:space="0" w:color="auto"/>
              <w:left w:val="nil"/>
              <w:right w:val="nil"/>
            </w:tcBorders>
            <w:vAlign w:val="bottom"/>
          </w:tcPr>
          <w:p w14:paraId="597A47DA" w14:textId="77777777" w:rsidR="00DC7046" w:rsidRPr="003E68E4" w:rsidRDefault="00DC7046" w:rsidP="00DC7046">
            <w:pPr>
              <w:tabs>
                <w:tab w:val="decimal" w:pos="1548"/>
              </w:tabs>
              <w:rPr>
                <w:rFonts w:cs="Arial"/>
                <w:bCs/>
                <w:color w:val="000000"/>
                <w:sz w:val="18"/>
                <w:szCs w:val="18"/>
                <w:highlight w:val="yellow"/>
              </w:rPr>
            </w:pPr>
          </w:p>
        </w:tc>
      </w:tr>
      <w:tr w:rsidR="00DC7046" w:rsidRPr="00DC7046" w14:paraId="5E1B6EF9" w14:textId="77777777" w:rsidTr="00DC7046">
        <w:trPr>
          <w:trHeight w:val="227"/>
          <w:jc w:val="center"/>
        </w:trPr>
        <w:tc>
          <w:tcPr>
            <w:tcW w:w="5585" w:type="dxa"/>
            <w:tcBorders>
              <w:top w:val="nil"/>
              <w:left w:val="nil"/>
              <w:right w:val="nil"/>
            </w:tcBorders>
            <w:vAlign w:val="bottom"/>
          </w:tcPr>
          <w:p w14:paraId="3D85B226" w14:textId="07E1A656" w:rsidR="00DC7046" w:rsidRPr="00DC7046" w:rsidRDefault="00DC7046" w:rsidP="00DC7046">
            <w:pPr>
              <w:ind w:left="5" w:right="-108" w:hanging="113"/>
              <w:rPr>
                <w:rFonts w:cs="Arial"/>
                <w:b/>
                <w:bCs/>
                <w:color w:val="000000"/>
                <w:sz w:val="18"/>
                <w:szCs w:val="18"/>
              </w:rPr>
            </w:pPr>
            <w:r>
              <w:rPr>
                <w:b/>
                <w:bCs/>
                <w:sz w:val="18"/>
                <w:szCs w:val="18"/>
              </w:rPr>
              <w:t>Cash flows from i</w:t>
            </w:r>
            <w:r w:rsidRPr="00DC7046">
              <w:rPr>
                <w:b/>
                <w:bCs/>
                <w:sz w:val="18"/>
                <w:szCs w:val="18"/>
              </w:rPr>
              <w:t>nvesting activities</w:t>
            </w:r>
          </w:p>
        </w:tc>
        <w:tc>
          <w:tcPr>
            <w:tcW w:w="634" w:type="dxa"/>
            <w:tcBorders>
              <w:top w:val="nil"/>
              <w:left w:val="nil"/>
              <w:right w:val="nil"/>
            </w:tcBorders>
            <w:vAlign w:val="bottom"/>
          </w:tcPr>
          <w:p w14:paraId="4D102981" w14:textId="77777777" w:rsidR="00DC7046" w:rsidRPr="00DC7046" w:rsidRDefault="00DC7046" w:rsidP="00DC7046">
            <w:pPr>
              <w:snapToGrid w:val="0"/>
              <w:ind w:left="-108" w:right="-108"/>
              <w:jc w:val="center"/>
              <w:rPr>
                <w:rFonts w:cs="Arial"/>
                <w:bCs/>
                <w:color w:val="000000"/>
                <w:sz w:val="18"/>
                <w:szCs w:val="18"/>
              </w:rPr>
            </w:pPr>
          </w:p>
        </w:tc>
        <w:tc>
          <w:tcPr>
            <w:tcW w:w="1764" w:type="dxa"/>
            <w:tcBorders>
              <w:top w:val="nil"/>
              <w:left w:val="nil"/>
              <w:right w:val="nil"/>
            </w:tcBorders>
            <w:shd w:val="clear" w:color="auto" w:fill="auto"/>
            <w:vAlign w:val="bottom"/>
          </w:tcPr>
          <w:p w14:paraId="00152191" w14:textId="77777777" w:rsidR="00DC7046" w:rsidRPr="00DC7046" w:rsidRDefault="00DC7046" w:rsidP="003E68E4">
            <w:pPr>
              <w:tabs>
                <w:tab w:val="decimal" w:pos="1418"/>
              </w:tabs>
              <w:jc w:val="right"/>
              <w:rPr>
                <w:rFonts w:cs="Arial"/>
                <w:b/>
                <w:bCs/>
                <w:color w:val="000000"/>
                <w:sz w:val="18"/>
                <w:szCs w:val="18"/>
                <w:highlight w:val="yellow"/>
              </w:rPr>
            </w:pPr>
          </w:p>
        </w:tc>
        <w:tc>
          <w:tcPr>
            <w:tcW w:w="1764" w:type="dxa"/>
            <w:tcBorders>
              <w:top w:val="nil"/>
              <w:left w:val="nil"/>
              <w:right w:val="nil"/>
            </w:tcBorders>
            <w:vAlign w:val="bottom"/>
          </w:tcPr>
          <w:p w14:paraId="45B57A23" w14:textId="77777777" w:rsidR="00DC7046" w:rsidRPr="003E68E4" w:rsidRDefault="00DC7046" w:rsidP="00DC7046">
            <w:pPr>
              <w:tabs>
                <w:tab w:val="decimal" w:pos="1548"/>
              </w:tabs>
              <w:rPr>
                <w:rFonts w:cs="Arial"/>
                <w:bCs/>
                <w:color w:val="000000"/>
                <w:sz w:val="18"/>
                <w:szCs w:val="18"/>
                <w:lang w:val="en-US"/>
              </w:rPr>
            </w:pPr>
          </w:p>
        </w:tc>
      </w:tr>
      <w:tr w:rsidR="00DC7046" w:rsidRPr="00DC7046" w14:paraId="7F6C6B19" w14:textId="77777777" w:rsidTr="00DC7046">
        <w:trPr>
          <w:trHeight w:val="227"/>
          <w:jc w:val="center"/>
        </w:trPr>
        <w:tc>
          <w:tcPr>
            <w:tcW w:w="5585" w:type="dxa"/>
            <w:tcBorders>
              <w:left w:val="nil"/>
              <w:right w:val="nil"/>
            </w:tcBorders>
            <w:vAlign w:val="bottom"/>
          </w:tcPr>
          <w:p w14:paraId="5D7D4143" w14:textId="05BBEC51" w:rsidR="00DC7046" w:rsidRPr="00DC7046" w:rsidRDefault="00DC7046" w:rsidP="00DC7046">
            <w:pPr>
              <w:ind w:left="5" w:right="-108" w:hanging="113"/>
              <w:rPr>
                <w:rFonts w:cs="Arial"/>
                <w:color w:val="000000"/>
                <w:sz w:val="18"/>
                <w:szCs w:val="18"/>
              </w:rPr>
            </w:pPr>
            <w:r>
              <w:rPr>
                <w:sz w:val="18"/>
                <w:szCs w:val="18"/>
              </w:rPr>
              <w:t>Investment in deposit with banks</w:t>
            </w:r>
          </w:p>
        </w:tc>
        <w:tc>
          <w:tcPr>
            <w:tcW w:w="634" w:type="dxa"/>
            <w:tcBorders>
              <w:left w:val="nil"/>
              <w:right w:val="nil"/>
            </w:tcBorders>
            <w:vAlign w:val="bottom"/>
          </w:tcPr>
          <w:p w14:paraId="293D9C61" w14:textId="77777777" w:rsidR="00DC7046" w:rsidRPr="00DC7046" w:rsidRDefault="00DC7046" w:rsidP="00DC7046">
            <w:pPr>
              <w:snapToGrid w:val="0"/>
              <w:ind w:left="-108" w:right="-108"/>
              <w:jc w:val="center"/>
              <w:rPr>
                <w:rFonts w:cs="Arial"/>
                <w:color w:val="000000"/>
                <w:sz w:val="18"/>
                <w:szCs w:val="18"/>
                <w:lang w:val="en-US"/>
              </w:rPr>
            </w:pPr>
          </w:p>
        </w:tc>
        <w:tc>
          <w:tcPr>
            <w:tcW w:w="1764" w:type="dxa"/>
            <w:tcBorders>
              <w:left w:val="nil"/>
              <w:right w:val="nil"/>
            </w:tcBorders>
            <w:shd w:val="clear" w:color="auto" w:fill="auto"/>
            <w:vAlign w:val="bottom"/>
          </w:tcPr>
          <w:p w14:paraId="3BA50470" w14:textId="6373D175"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(2,050,000)</w:t>
            </w:r>
          </w:p>
        </w:tc>
        <w:tc>
          <w:tcPr>
            <w:tcW w:w="1764" w:type="dxa"/>
            <w:tcBorders>
              <w:left w:val="nil"/>
              <w:right w:val="nil"/>
            </w:tcBorders>
            <w:vAlign w:val="bottom"/>
          </w:tcPr>
          <w:p w14:paraId="44A8164D" w14:textId="5727F623" w:rsidR="00DC7046" w:rsidRPr="003E68E4" w:rsidRDefault="00DC7046" w:rsidP="00DC7046">
            <w:pPr>
              <w:tabs>
                <w:tab w:val="decimal" w:pos="1548"/>
              </w:tabs>
              <w:jc w:val="right"/>
              <w:rPr>
                <w:rFonts w:cs="Arial"/>
                <w:bCs/>
                <w:color w:val="000000"/>
                <w:sz w:val="18"/>
                <w:szCs w:val="18"/>
              </w:rPr>
            </w:pPr>
            <w:r w:rsidRPr="003E68E4">
              <w:rPr>
                <w:rFonts w:cs="Arial"/>
                <w:bCs/>
                <w:color w:val="000000"/>
                <w:sz w:val="18"/>
                <w:szCs w:val="18"/>
              </w:rPr>
              <w:t>(3,180,000)</w:t>
            </w:r>
          </w:p>
        </w:tc>
      </w:tr>
      <w:tr w:rsidR="00DC7046" w:rsidRPr="00DC7046" w14:paraId="31129F65" w14:textId="77777777" w:rsidTr="00DC7046">
        <w:trPr>
          <w:trHeight w:val="227"/>
          <w:jc w:val="center"/>
        </w:trPr>
        <w:tc>
          <w:tcPr>
            <w:tcW w:w="5585" w:type="dxa"/>
            <w:tcBorders>
              <w:left w:val="nil"/>
              <w:bottom w:val="nil"/>
              <w:right w:val="nil"/>
            </w:tcBorders>
            <w:vAlign w:val="bottom"/>
          </w:tcPr>
          <w:p w14:paraId="6C926777" w14:textId="38882488" w:rsidR="00DC7046" w:rsidRPr="00DC7046" w:rsidRDefault="00DC7046" w:rsidP="00DC7046">
            <w:pPr>
              <w:ind w:left="5" w:right="-108" w:hanging="113"/>
              <w:rPr>
                <w:rFonts w:cs="Arial"/>
                <w:color w:val="000000"/>
                <w:sz w:val="18"/>
                <w:szCs w:val="18"/>
              </w:rPr>
            </w:pPr>
            <w:r w:rsidRPr="00DC7046">
              <w:rPr>
                <w:sz w:val="18"/>
                <w:szCs w:val="18"/>
              </w:rPr>
              <w:t xml:space="preserve">Purchase of </w:t>
            </w:r>
            <w:r>
              <w:rPr>
                <w:sz w:val="18"/>
                <w:szCs w:val="18"/>
              </w:rPr>
              <w:t>investment property</w:t>
            </w:r>
          </w:p>
        </w:tc>
        <w:tc>
          <w:tcPr>
            <w:tcW w:w="634" w:type="dxa"/>
            <w:tcBorders>
              <w:left w:val="nil"/>
              <w:bottom w:val="nil"/>
              <w:right w:val="nil"/>
            </w:tcBorders>
            <w:vAlign w:val="bottom"/>
          </w:tcPr>
          <w:p w14:paraId="479836C4" w14:textId="77777777" w:rsidR="00DC7046" w:rsidRPr="00DC7046" w:rsidRDefault="00DC7046" w:rsidP="00DC7046">
            <w:pPr>
              <w:snapToGrid w:val="0"/>
              <w:ind w:left="-108" w:right="-108"/>
              <w:jc w:val="center"/>
              <w:rPr>
                <w:rFonts w:cs="Arial"/>
                <w:color w:val="000000"/>
                <w:sz w:val="18"/>
                <w:szCs w:val="18"/>
                <w:lang w:val="ru-RU"/>
              </w:rPr>
            </w:pPr>
          </w:p>
        </w:tc>
        <w:tc>
          <w:tcPr>
            <w:tcW w:w="1764" w:type="dxa"/>
            <w:tcBorders>
              <w:left w:val="nil"/>
              <w:bottom w:val="nil"/>
              <w:right w:val="nil"/>
            </w:tcBorders>
            <w:shd w:val="clear" w:color="auto" w:fill="auto"/>
            <w:vAlign w:val="bottom"/>
          </w:tcPr>
          <w:p w14:paraId="3579E4D4" w14:textId="72A5A22A"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(398,817)</w:t>
            </w:r>
          </w:p>
        </w:tc>
        <w:tc>
          <w:tcPr>
            <w:tcW w:w="1764" w:type="dxa"/>
            <w:tcBorders>
              <w:left w:val="nil"/>
              <w:bottom w:val="nil"/>
              <w:right w:val="nil"/>
            </w:tcBorders>
            <w:vAlign w:val="bottom"/>
          </w:tcPr>
          <w:p w14:paraId="204C7AE0" w14:textId="6550D661" w:rsidR="00DC7046" w:rsidRPr="003E68E4" w:rsidRDefault="00DC7046" w:rsidP="00DC7046">
            <w:pPr>
              <w:tabs>
                <w:tab w:val="decimal" w:pos="1548"/>
              </w:tabs>
              <w:jc w:val="right"/>
              <w:rPr>
                <w:rFonts w:cs="Arial"/>
                <w:bCs/>
                <w:color w:val="000000"/>
                <w:sz w:val="18"/>
                <w:szCs w:val="18"/>
              </w:rPr>
            </w:pPr>
            <w:r w:rsidRPr="003E68E4">
              <w:rPr>
                <w:rFonts w:cs="Arial"/>
                <w:bCs/>
                <w:color w:val="000000"/>
                <w:sz w:val="18"/>
                <w:szCs w:val="18"/>
              </w:rPr>
              <w:t>(1,240,320)</w:t>
            </w:r>
          </w:p>
        </w:tc>
      </w:tr>
      <w:tr w:rsidR="00DC7046" w:rsidRPr="00DC7046" w14:paraId="120F8BA0" w14:textId="77777777" w:rsidTr="00DC7046">
        <w:trPr>
          <w:trHeight w:val="227"/>
          <w:jc w:val="center"/>
        </w:trPr>
        <w:tc>
          <w:tcPr>
            <w:tcW w:w="5585" w:type="dxa"/>
            <w:tcBorders>
              <w:left w:val="nil"/>
              <w:bottom w:val="nil"/>
              <w:right w:val="nil"/>
            </w:tcBorders>
            <w:vAlign w:val="bottom"/>
          </w:tcPr>
          <w:p w14:paraId="3279AC20" w14:textId="09C55170" w:rsidR="00DC7046" w:rsidRPr="00DC7046" w:rsidRDefault="00DC7046" w:rsidP="00DC7046">
            <w:pPr>
              <w:ind w:left="5" w:right="-108" w:hanging="113"/>
              <w:rPr>
                <w:rFonts w:cs="Arial"/>
                <w:sz w:val="18"/>
                <w:szCs w:val="18"/>
              </w:rPr>
            </w:pPr>
            <w:r>
              <w:rPr>
                <w:sz w:val="18"/>
                <w:szCs w:val="18"/>
              </w:rPr>
              <w:t>Property and equipment additions</w:t>
            </w:r>
          </w:p>
        </w:tc>
        <w:tc>
          <w:tcPr>
            <w:tcW w:w="634" w:type="dxa"/>
            <w:tcBorders>
              <w:left w:val="nil"/>
              <w:bottom w:val="nil"/>
              <w:right w:val="nil"/>
            </w:tcBorders>
            <w:vAlign w:val="bottom"/>
          </w:tcPr>
          <w:p w14:paraId="00CD1794" w14:textId="77777777" w:rsidR="00DC7046" w:rsidRPr="00DC7046" w:rsidRDefault="00DC7046" w:rsidP="00DC7046">
            <w:pPr>
              <w:snapToGrid w:val="0"/>
              <w:ind w:left="-108" w:right="-108"/>
              <w:jc w:val="center"/>
              <w:rPr>
                <w:rFonts w:cs="Arial"/>
                <w:color w:val="000000"/>
                <w:sz w:val="18"/>
                <w:szCs w:val="18"/>
                <w:lang w:val="en-US"/>
              </w:rPr>
            </w:pPr>
          </w:p>
        </w:tc>
        <w:tc>
          <w:tcPr>
            <w:tcW w:w="1764" w:type="dxa"/>
            <w:tcBorders>
              <w:left w:val="nil"/>
              <w:bottom w:val="nil"/>
              <w:right w:val="nil"/>
            </w:tcBorders>
            <w:shd w:val="clear" w:color="auto" w:fill="auto"/>
            <w:vAlign w:val="bottom"/>
          </w:tcPr>
          <w:p w14:paraId="570E34F9" w14:textId="25902F5D"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(352,288)</w:t>
            </w:r>
          </w:p>
        </w:tc>
        <w:tc>
          <w:tcPr>
            <w:tcW w:w="1764" w:type="dxa"/>
            <w:tcBorders>
              <w:left w:val="nil"/>
              <w:bottom w:val="nil"/>
              <w:right w:val="nil"/>
            </w:tcBorders>
            <w:vAlign w:val="bottom"/>
          </w:tcPr>
          <w:p w14:paraId="571314BD" w14:textId="5DD97591" w:rsidR="00DC7046" w:rsidRPr="003E68E4" w:rsidRDefault="00DC7046" w:rsidP="00DC7046">
            <w:pPr>
              <w:tabs>
                <w:tab w:val="decimal" w:pos="1548"/>
              </w:tabs>
              <w:jc w:val="right"/>
              <w:rPr>
                <w:rFonts w:cs="Arial"/>
                <w:bCs/>
                <w:color w:val="000000"/>
                <w:sz w:val="18"/>
                <w:szCs w:val="18"/>
              </w:rPr>
            </w:pPr>
            <w:r w:rsidRPr="003E68E4">
              <w:rPr>
                <w:rFonts w:cs="Arial"/>
                <w:bCs/>
                <w:color w:val="000000"/>
                <w:sz w:val="18"/>
                <w:szCs w:val="18"/>
              </w:rPr>
              <w:t>(12,591)</w:t>
            </w:r>
          </w:p>
        </w:tc>
      </w:tr>
      <w:tr w:rsidR="00DC7046" w:rsidRPr="00DC7046" w14:paraId="24A7D2FE" w14:textId="77777777" w:rsidTr="00DC7046">
        <w:trPr>
          <w:trHeight w:val="227"/>
          <w:jc w:val="center"/>
        </w:trPr>
        <w:tc>
          <w:tcPr>
            <w:tcW w:w="5585" w:type="dxa"/>
            <w:tcBorders>
              <w:top w:val="single" w:sz="4" w:space="0" w:color="auto"/>
              <w:left w:val="nil"/>
              <w:bottom w:val="single" w:sz="4" w:space="0" w:color="auto"/>
              <w:right w:val="nil"/>
            </w:tcBorders>
            <w:vAlign w:val="bottom"/>
          </w:tcPr>
          <w:p w14:paraId="700048B3" w14:textId="5506CE7C" w:rsidR="00DC7046" w:rsidRPr="00DC7046" w:rsidRDefault="00DC7046" w:rsidP="00DC7046">
            <w:pPr>
              <w:ind w:left="5" w:right="-108" w:hanging="113"/>
              <w:rPr>
                <w:rFonts w:cs="Arial"/>
                <w:color w:val="000000"/>
                <w:sz w:val="18"/>
                <w:szCs w:val="18"/>
              </w:rPr>
            </w:pPr>
            <w:r w:rsidRPr="00DC7046">
              <w:rPr>
                <w:b/>
                <w:bCs/>
                <w:sz w:val="18"/>
                <w:szCs w:val="18"/>
              </w:rPr>
              <w:t xml:space="preserve">Net cash </w:t>
            </w:r>
            <w:r>
              <w:rPr>
                <w:b/>
                <w:bCs/>
                <w:sz w:val="18"/>
                <w:szCs w:val="18"/>
              </w:rPr>
              <w:t>(outflow)/in</w:t>
            </w:r>
            <w:r w:rsidRPr="00DC7046">
              <w:rPr>
                <w:b/>
                <w:bCs/>
                <w:sz w:val="18"/>
                <w:szCs w:val="18"/>
              </w:rPr>
              <w:t xml:space="preserve">flow </w:t>
            </w:r>
            <w:r>
              <w:rPr>
                <w:b/>
                <w:bCs/>
                <w:sz w:val="18"/>
                <w:szCs w:val="18"/>
              </w:rPr>
              <w:t>from</w:t>
            </w:r>
            <w:r w:rsidRPr="00DC7046">
              <w:rPr>
                <w:b/>
                <w:bCs/>
                <w:sz w:val="18"/>
                <w:szCs w:val="18"/>
              </w:rPr>
              <w:t xml:space="preserve"> investing activities</w:t>
            </w:r>
          </w:p>
        </w:tc>
        <w:tc>
          <w:tcPr>
            <w:tcW w:w="634" w:type="dxa"/>
            <w:tcBorders>
              <w:top w:val="single" w:sz="4" w:space="0" w:color="auto"/>
              <w:left w:val="nil"/>
              <w:bottom w:val="single" w:sz="4" w:space="0" w:color="auto"/>
              <w:right w:val="nil"/>
            </w:tcBorders>
            <w:vAlign w:val="bottom"/>
          </w:tcPr>
          <w:p w14:paraId="55F1F456" w14:textId="77777777" w:rsidR="00DC7046" w:rsidRPr="00DC7046" w:rsidRDefault="00DC7046" w:rsidP="00DC7046">
            <w:pPr>
              <w:snapToGrid w:val="0"/>
              <w:ind w:left="-108" w:right="-108"/>
              <w:jc w:val="center"/>
              <w:rPr>
                <w:rFonts w:cs="Arial"/>
                <w:color w:val="000000"/>
                <w:sz w:val="18"/>
                <w:szCs w:val="18"/>
                <w:lang w:val="en-US"/>
              </w:rPr>
            </w:pPr>
          </w:p>
        </w:tc>
        <w:tc>
          <w:tcPr>
            <w:tcW w:w="1764" w:type="dxa"/>
            <w:tcBorders>
              <w:top w:val="single" w:sz="4" w:space="0" w:color="auto"/>
              <w:left w:val="nil"/>
              <w:bottom w:val="single" w:sz="4" w:space="0" w:color="auto"/>
              <w:right w:val="nil"/>
            </w:tcBorders>
            <w:shd w:val="clear" w:color="auto" w:fill="auto"/>
            <w:vAlign w:val="bottom"/>
          </w:tcPr>
          <w:p w14:paraId="3E376414" w14:textId="30289FBB" w:rsidR="00DC7046" w:rsidRPr="001D67A5" w:rsidRDefault="001D67A5" w:rsidP="003E68E4">
            <w:pPr>
              <w:tabs>
                <w:tab w:val="decimal" w:pos="1418"/>
              </w:tabs>
              <w:overflowPunct w:val="0"/>
              <w:autoSpaceDE w:val="0"/>
              <w:autoSpaceDN w:val="0"/>
              <w:jc w:val="right"/>
              <w:rPr>
                <w:rFonts w:cs="Arial"/>
                <w:b/>
                <w:bCs/>
                <w:color w:val="000000"/>
                <w:sz w:val="18"/>
                <w:szCs w:val="18"/>
                <w:lang w:val="ru-RU"/>
              </w:rPr>
            </w:pPr>
            <w:r>
              <w:rPr>
                <w:rFonts w:cs="Arial"/>
                <w:b/>
                <w:bCs/>
                <w:color w:val="000000"/>
                <w:sz w:val="18"/>
                <w:szCs w:val="18"/>
                <w:lang w:val="ru-RU"/>
              </w:rPr>
              <w:t>(2,801,105)</w:t>
            </w:r>
          </w:p>
        </w:tc>
        <w:tc>
          <w:tcPr>
            <w:tcW w:w="1764" w:type="dxa"/>
            <w:tcBorders>
              <w:top w:val="single" w:sz="4" w:space="0" w:color="auto"/>
              <w:left w:val="nil"/>
              <w:bottom w:val="single" w:sz="4" w:space="0" w:color="auto"/>
              <w:right w:val="nil"/>
            </w:tcBorders>
            <w:vAlign w:val="bottom"/>
          </w:tcPr>
          <w:p w14:paraId="6E072F20" w14:textId="66063B28" w:rsidR="00DC7046" w:rsidRPr="003E68E4" w:rsidRDefault="00DC7046" w:rsidP="00DC7046">
            <w:pPr>
              <w:tabs>
                <w:tab w:val="decimal" w:pos="1548"/>
              </w:tabs>
              <w:rPr>
                <w:rFonts w:cs="Arial"/>
                <w:bCs/>
                <w:color w:val="000000"/>
                <w:sz w:val="18"/>
                <w:szCs w:val="18"/>
              </w:rPr>
            </w:pPr>
            <w:r w:rsidRPr="003E68E4">
              <w:rPr>
                <w:rFonts w:cs="Arial"/>
                <w:bCs/>
                <w:color w:val="000000"/>
                <w:sz w:val="18"/>
                <w:szCs w:val="18"/>
              </w:rPr>
              <w:t>(4,432,911)</w:t>
            </w:r>
          </w:p>
        </w:tc>
      </w:tr>
      <w:tr w:rsidR="00DC7046" w:rsidRPr="00DC7046" w14:paraId="34047B6C" w14:textId="77777777" w:rsidTr="00DC7046">
        <w:trPr>
          <w:trHeight w:val="227"/>
          <w:jc w:val="center"/>
        </w:trPr>
        <w:tc>
          <w:tcPr>
            <w:tcW w:w="5585" w:type="dxa"/>
            <w:tcBorders>
              <w:top w:val="single" w:sz="4" w:space="0" w:color="auto"/>
              <w:left w:val="nil"/>
              <w:bottom w:val="nil"/>
              <w:right w:val="nil"/>
            </w:tcBorders>
            <w:vAlign w:val="bottom"/>
          </w:tcPr>
          <w:p w14:paraId="55561132" w14:textId="77777777" w:rsidR="00DC7046" w:rsidRPr="00DC7046" w:rsidRDefault="00DC7046" w:rsidP="00DC7046">
            <w:pPr>
              <w:ind w:left="5" w:right="-108" w:hanging="113"/>
              <w:rPr>
                <w:rFonts w:cs="Arial"/>
                <w:b/>
                <w:bCs/>
                <w:sz w:val="18"/>
                <w:szCs w:val="18"/>
              </w:rPr>
            </w:pPr>
            <w:r w:rsidRPr="00DC7046">
              <w:rPr>
                <w:b/>
                <w:bCs/>
                <w:sz w:val="18"/>
                <w:szCs w:val="18"/>
              </w:rPr>
              <w:t xml:space="preserve"> </w:t>
            </w:r>
          </w:p>
        </w:tc>
        <w:tc>
          <w:tcPr>
            <w:tcW w:w="634" w:type="dxa"/>
            <w:tcBorders>
              <w:top w:val="single" w:sz="4" w:space="0" w:color="auto"/>
              <w:left w:val="nil"/>
              <w:bottom w:val="nil"/>
              <w:right w:val="nil"/>
            </w:tcBorders>
            <w:vAlign w:val="bottom"/>
          </w:tcPr>
          <w:p w14:paraId="61DE8A79" w14:textId="77777777" w:rsidR="00DC7046" w:rsidRPr="00DC7046" w:rsidRDefault="00DC7046" w:rsidP="00DC7046">
            <w:pPr>
              <w:snapToGrid w:val="0"/>
              <w:ind w:left="-108" w:right="-108"/>
              <w:jc w:val="center"/>
              <w:rPr>
                <w:rFonts w:cs="Arial"/>
                <w:bCs/>
                <w:color w:val="000000"/>
                <w:sz w:val="18"/>
                <w:szCs w:val="18"/>
              </w:rPr>
            </w:pPr>
          </w:p>
        </w:tc>
        <w:tc>
          <w:tcPr>
            <w:tcW w:w="1764" w:type="dxa"/>
            <w:tcBorders>
              <w:top w:val="single" w:sz="4" w:space="0" w:color="auto"/>
              <w:left w:val="nil"/>
              <w:bottom w:val="nil"/>
              <w:right w:val="nil"/>
            </w:tcBorders>
            <w:shd w:val="clear" w:color="auto" w:fill="auto"/>
            <w:vAlign w:val="bottom"/>
          </w:tcPr>
          <w:p w14:paraId="31731F98" w14:textId="77777777" w:rsidR="00DC7046" w:rsidRPr="00DC7046" w:rsidRDefault="00DC7046" w:rsidP="003E68E4">
            <w:pPr>
              <w:tabs>
                <w:tab w:val="decimal" w:pos="1418"/>
              </w:tabs>
              <w:jc w:val="right"/>
              <w:rPr>
                <w:rFonts w:cs="Arial"/>
                <w:b/>
                <w:bCs/>
                <w:color w:val="000000"/>
                <w:sz w:val="18"/>
                <w:szCs w:val="18"/>
                <w:highlight w:val="yellow"/>
              </w:rPr>
            </w:pPr>
          </w:p>
        </w:tc>
        <w:tc>
          <w:tcPr>
            <w:tcW w:w="1764" w:type="dxa"/>
            <w:tcBorders>
              <w:top w:val="single" w:sz="4" w:space="0" w:color="auto"/>
              <w:left w:val="nil"/>
              <w:bottom w:val="nil"/>
              <w:right w:val="nil"/>
            </w:tcBorders>
            <w:vAlign w:val="bottom"/>
          </w:tcPr>
          <w:p w14:paraId="288FE9AE" w14:textId="77777777" w:rsidR="00DC7046" w:rsidRPr="003E68E4" w:rsidRDefault="00DC7046" w:rsidP="00DC7046">
            <w:pPr>
              <w:tabs>
                <w:tab w:val="decimal" w:pos="1418"/>
              </w:tabs>
              <w:rPr>
                <w:rFonts w:cs="Arial"/>
                <w:bCs/>
                <w:color w:val="000000"/>
                <w:sz w:val="18"/>
                <w:szCs w:val="18"/>
                <w:highlight w:val="yellow"/>
              </w:rPr>
            </w:pPr>
          </w:p>
        </w:tc>
      </w:tr>
      <w:tr w:rsidR="00DC7046" w:rsidRPr="00DC7046" w14:paraId="0A0BC94C" w14:textId="77777777" w:rsidTr="00DC7046">
        <w:trPr>
          <w:trHeight w:val="227"/>
          <w:jc w:val="center"/>
        </w:trPr>
        <w:tc>
          <w:tcPr>
            <w:tcW w:w="5585" w:type="dxa"/>
            <w:tcBorders>
              <w:top w:val="nil"/>
              <w:left w:val="nil"/>
              <w:bottom w:val="nil"/>
              <w:right w:val="nil"/>
            </w:tcBorders>
            <w:vAlign w:val="bottom"/>
          </w:tcPr>
          <w:p w14:paraId="2AFFB574" w14:textId="182762B5" w:rsidR="00DC7046" w:rsidRPr="00DC7046" w:rsidRDefault="00DC7046" w:rsidP="00DC7046">
            <w:pPr>
              <w:ind w:left="5" w:right="-108" w:hanging="113"/>
              <w:rPr>
                <w:rFonts w:cs="Arial"/>
                <w:b/>
                <w:bCs/>
                <w:color w:val="000000"/>
                <w:sz w:val="18"/>
                <w:szCs w:val="18"/>
              </w:rPr>
            </w:pPr>
            <w:r>
              <w:rPr>
                <w:b/>
                <w:bCs/>
                <w:sz w:val="18"/>
                <w:szCs w:val="18"/>
              </w:rPr>
              <w:t>Cash flows from fi</w:t>
            </w:r>
            <w:r w:rsidRPr="00DC7046">
              <w:rPr>
                <w:b/>
                <w:bCs/>
                <w:sz w:val="18"/>
                <w:szCs w:val="18"/>
              </w:rPr>
              <w:t>nancing activities</w:t>
            </w:r>
          </w:p>
        </w:tc>
        <w:tc>
          <w:tcPr>
            <w:tcW w:w="634" w:type="dxa"/>
            <w:tcBorders>
              <w:top w:val="nil"/>
              <w:left w:val="nil"/>
              <w:bottom w:val="nil"/>
              <w:right w:val="nil"/>
            </w:tcBorders>
            <w:vAlign w:val="bottom"/>
          </w:tcPr>
          <w:p w14:paraId="2EE0E71A" w14:textId="77777777" w:rsidR="00DC7046" w:rsidRPr="00DC7046" w:rsidRDefault="00DC7046" w:rsidP="00DC7046">
            <w:pPr>
              <w:snapToGrid w:val="0"/>
              <w:ind w:left="-108" w:right="-108"/>
              <w:jc w:val="center"/>
              <w:rPr>
                <w:rFonts w:cs="Arial"/>
                <w:bCs/>
                <w:color w:val="000000"/>
                <w:sz w:val="18"/>
                <w:szCs w:val="18"/>
              </w:rPr>
            </w:pPr>
          </w:p>
        </w:tc>
        <w:tc>
          <w:tcPr>
            <w:tcW w:w="1764" w:type="dxa"/>
            <w:tcBorders>
              <w:top w:val="nil"/>
              <w:left w:val="nil"/>
              <w:bottom w:val="nil"/>
              <w:right w:val="nil"/>
            </w:tcBorders>
            <w:shd w:val="clear" w:color="auto" w:fill="auto"/>
            <w:vAlign w:val="bottom"/>
          </w:tcPr>
          <w:p w14:paraId="050EA09F" w14:textId="77777777" w:rsidR="00DC7046" w:rsidRPr="00DC7046" w:rsidRDefault="00DC7046" w:rsidP="003E68E4">
            <w:pPr>
              <w:tabs>
                <w:tab w:val="decimal" w:pos="1418"/>
              </w:tabs>
              <w:jc w:val="right"/>
              <w:rPr>
                <w:rFonts w:cs="Arial"/>
                <w:b/>
                <w:bCs/>
                <w:color w:val="000000"/>
                <w:sz w:val="18"/>
                <w:szCs w:val="18"/>
                <w:highlight w:val="yellow"/>
                <w:lang w:val="en-US"/>
              </w:rPr>
            </w:pPr>
          </w:p>
        </w:tc>
        <w:tc>
          <w:tcPr>
            <w:tcW w:w="1764" w:type="dxa"/>
            <w:tcBorders>
              <w:top w:val="nil"/>
              <w:left w:val="nil"/>
              <w:bottom w:val="nil"/>
              <w:right w:val="nil"/>
            </w:tcBorders>
            <w:vAlign w:val="bottom"/>
          </w:tcPr>
          <w:p w14:paraId="1D34B4E0" w14:textId="77777777" w:rsidR="00DC7046" w:rsidRPr="003E68E4" w:rsidRDefault="00DC7046" w:rsidP="00DC7046">
            <w:pPr>
              <w:tabs>
                <w:tab w:val="decimal" w:pos="1418"/>
              </w:tabs>
              <w:rPr>
                <w:rFonts w:cs="Arial"/>
                <w:bCs/>
                <w:color w:val="000000"/>
                <w:sz w:val="18"/>
                <w:szCs w:val="18"/>
                <w:lang w:val="en-US"/>
              </w:rPr>
            </w:pPr>
          </w:p>
        </w:tc>
      </w:tr>
      <w:tr w:rsidR="00DC7046" w:rsidRPr="00DC7046" w14:paraId="13B12F2B" w14:textId="77777777" w:rsidTr="00DC7046">
        <w:trPr>
          <w:trHeight w:val="227"/>
          <w:jc w:val="center"/>
        </w:trPr>
        <w:tc>
          <w:tcPr>
            <w:tcW w:w="5585" w:type="dxa"/>
            <w:tcBorders>
              <w:left w:val="nil"/>
              <w:right w:val="nil"/>
            </w:tcBorders>
            <w:vAlign w:val="bottom"/>
          </w:tcPr>
          <w:p w14:paraId="2B115740" w14:textId="3B97FEF4" w:rsidR="00DC7046" w:rsidRPr="00DC7046" w:rsidRDefault="00DC7046" w:rsidP="00DC7046">
            <w:pPr>
              <w:ind w:left="5" w:right="-108" w:hanging="113"/>
              <w:rPr>
                <w:rFonts w:cs="Arial"/>
                <w:b/>
                <w:bCs/>
                <w:color w:val="000000"/>
                <w:sz w:val="18"/>
                <w:szCs w:val="18"/>
              </w:rPr>
            </w:pPr>
            <w:r>
              <w:rPr>
                <w:sz w:val="18"/>
                <w:szCs w:val="18"/>
              </w:rPr>
              <w:t>Dividends paid</w:t>
            </w:r>
          </w:p>
        </w:tc>
        <w:tc>
          <w:tcPr>
            <w:tcW w:w="634" w:type="dxa"/>
            <w:tcBorders>
              <w:left w:val="nil"/>
              <w:right w:val="nil"/>
            </w:tcBorders>
            <w:vAlign w:val="bottom"/>
          </w:tcPr>
          <w:p w14:paraId="534CF41C" w14:textId="52CB25F4" w:rsidR="00DC7046" w:rsidRPr="00DC7046" w:rsidRDefault="00DC7046" w:rsidP="00DC7046">
            <w:pPr>
              <w:snapToGrid w:val="0"/>
              <w:ind w:left="-108" w:right="-108"/>
              <w:jc w:val="center"/>
              <w:rPr>
                <w:rFonts w:cs="Arial"/>
                <w:bCs/>
                <w:color w:val="000000"/>
                <w:sz w:val="18"/>
                <w:szCs w:val="18"/>
              </w:rPr>
            </w:pPr>
            <w:r>
              <w:rPr>
                <w:rFonts w:cs="Arial"/>
                <w:bCs/>
                <w:color w:val="000000"/>
                <w:sz w:val="18"/>
                <w:szCs w:val="18"/>
              </w:rPr>
              <w:t>19</w:t>
            </w:r>
          </w:p>
        </w:tc>
        <w:tc>
          <w:tcPr>
            <w:tcW w:w="1764" w:type="dxa"/>
            <w:tcBorders>
              <w:left w:val="nil"/>
              <w:right w:val="nil"/>
            </w:tcBorders>
            <w:shd w:val="clear" w:color="auto" w:fill="auto"/>
            <w:vAlign w:val="bottom"/>
          </w:tcPr>
          <w:p w14:paraId="4A3DC969" w14:textId="19E17017"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(2,107,598)</w:t>
            </w:r>
          </w:p>
        </w:tc>
        <w:tc>
          <w:tcPr>
            <w:tcW w:w="1764" w:type="dxa"/>
            <w:tcBorders>
              <w:left w:val="nil"/>
              <w:right w:val="nil"/>
            </w:tcBorders>
            <w:vAlign w:val="bottom"/>
          </w:tcPr>
          <w:p w14:paraId="3F64A8EC" w14:textId="311264E4" w:rsidR="00DC7046" w:rsidRPr="003E68E4" w:rsidRDefault="007C0978" w:rsidP="00DC7046">
            <w:pPr>
              <w:tabs>
                <w:tab w:val="decimal" w:pos="1418"/>
              </w:tabs>
              <w:rPr>
                <w:rFonts w:cs="Arial"/>
                <w:bCs/>
                <w:color w:val="000000"/>
                <w:sz w:val="18"/>
                <w:szCs w:val="18"/>
              </w:rPr>
            </w:pPr>
            <w:r w:rsidRPr="003E68E4">
              <w:rPr>
                <w:rFonts w:cs="Arial"/>
                <w:bCs/>
                <w:color w:val="000000"/>
                <w:sz w:val="18"/>
                <w:szCs w:val="18"/>
              </w:rPr>
              <w:t>(1,456,479)</w:t>
            </w:r>
          </w:p>
        </w:tc>
      </w:tr>
      <w:tr w:rsidR="00DC7046" w:rsidRPr="007C0978" w14:paraId="5C928795" w14:textId="77777777" w:rsidTr="00DC7046">
        <w:trPr>
          <w:trHeight w:val="227"/>
          <w:jc w:val="center"/>
        </w:trPr>
        <w:tc>
          <w:tcPr>
            <w:tcW w:w="5585" w:type="dxa"/>
            <w:tcBorders>
              <w:top w:val="single" w:sz="4" w:space="0" w:color="auto"/>
              <w:left w:val="nil"/>
              <w:bottom w:val="single" w:sz="4" w:space="0" w:color="auto"/>
              <w:right w:val="nil"/>
            </w:tcBorders>
            <w:vAlign w:val="bottom"/>
          </w:tcPr>
          <w:p w14:paraId="0F6B3866" w14:textId="1E9CF920" w:rsidR="00DC7046" w:rsidRPr="00DC7046" w:rsidRDefault="00DC7046" w:rsidP="00DC7046">
            <w:pPr>
              <w:ind w:left="5" w:right="-108" w:hanging="113"/>
              <w:rPr>
                <w:rFonts w:cs="Arial"/>
                <w:color w:val="000000"/>
                <w:sz w:val="18"/>
                <w:szCs w:val="18"/>
              </w:rPr>
            </w:pPr>
            <w:r w:rsidRPr="00DC7046">
              <w:rPr>
                <w:b/>
                <w:bCs/>
                <w:sz w:val="18"/>
                <w:szCs w:val="18"/>
              </w:rPr>
              <w:t xml:space="preserve">Net cash </w:t>
            </w:r>
            <w:r>
              <w:rPr>
                <w:b/>
                <w:bCs/>
                <w:sz w:val="18"/>
                <w:szCs w:val="18"/>
              </w:rPr>
              <w:t>out</w:t>
            </w:r>
            <w:r w:rsidRPr="00DC7046">
              <w:rPr>
                <w:b/>
                <w:bCs/>
                <w:sz w:val="18"/>
                <w:szCs w:val="18"/>
              </w:rPr>
              <w:t>flow from</w:t>
            </w:r>
            <w:r>
              <w:rPr>
                <w:b/>
                <w:bCs/>
                <w:sz w:val="18"/>
                <w:szCs w:val="18"/>
              </w:rPr>
              <w:t xml:space="preserve"> </w:t>
            </w:r>
            <w:r w:rsidRPr="00DC7046">
              <w:rPr>
                <w:b/>
                <w:bCs/>
                <w:sz w:val="18"/>
                <w:szCs w:val="18"/>
              </w:rPr>
              <w:t>financing activities</w:t>
            </w:r>
          </w:p>
        </w:tc>
        <w:tc>
          <w:tcPr>
            <w:tcW w:w="634" w:type="dxa"/>
            <w:tcBorders>
              <w:top w:val="single" w:sz="4" w:space="0" w:color="auto"/>
              <w:left w:val="nil"/>
              <w:bottom w:val="single" w:sz="4" w:space="0" w:color="auto"/>
              <w:right w:val="nil"/>
            </w:tcBorders>
            <w:vAlign w:val="bottom"/>
          </w:tcPr>
          <w:p w14:paraId="1F5F683D" w14:textId="77777777" w:rsidR="00DC7046" w:rsidRPr="00DC7046" w:rsidRDefault="00DC7046" w:rsidP="00DC7046">
            <w:pPr>
              <w:snapToGrid w:val="0"/>
              <w:ind w:left="-108" w:right="-108"/>
              <w:jc w:val="center"/>
              <w:rPr>
                <w:rFonts w:cs="Arial"/>
                <w:color w:val="000000"/>
                <w:sz w:val="18"/>
                <w:szCs w:val="18"/>
                <w:lang w:val="en-US"/>
              </w:rPr>
            </w:pPr>
          </w:p>
        </w:tc>
        <w:tc>
          <w:tcPr>
            <w:tcW w:w="1764" w:type="dxa"/>
            <w:tcBorders>
              <w:top w:val="single" w:sz="4" w:space="0" w:color="auto"/>
              <w:left w:val="nil"/>
              <w:bottom w:val="single" w:sz="4" w:space="0" w:color="auto"/>
              <w:right w:val="nil"/>
            </w:tcBorders>
            <w:shd w:val="clear" w:color="auto" w:fill="auto"/>
            <w:vAlign w:val="bottom"/>
          </w:tcPr>
          <w:p w14:paraId="2A2EB511" w14:textId="6C345F8E"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(2,107,598)</w:t>
            </w:r>
          </w:p>
        </w:tc>
        <w:tc>
          <w:tcPr>
            <w:tcW w:w="1764" w:type="dxa"/>
            <w:tcBorders>
              <w:top w:val="single" w:sz="4" w:space="0" w:color="auto"/>
              <w:left w:val="nil"/>
              <w:bottom w:val="single" w:sz="4" w:space="0" w:color="auto"/>
              <w:right w:val="nil"/>
            </w:tcBorders>
            <w:vAlign w:val="bottom"/>
          </w:tcPr>
          <w:p w14:paraId="5CE51CE6" w14:textId="174BD9C8" w:rsidR="00DC7046" w:rsidRPr="003E68E4" w:rsidRDefault="007C0978" w:rsidP="00DC7046">
            <w:pPr>
              <w:tabs>
                <w:tab w:val="decimal" w:pos="1418"/>
              </w:tabs>
              <w:rPr>
                <w:rFonts w:cs="Arial"/>
                <w:bCs/>
                <w:color w:val="000000"/>
                <w:sz w:val="18"/>
                <w:szCs w:val="18"/>
              </w:rPr>
            </w:pPr>
            <w:r w:rsidRPr="003E68E4">
              <w:rPr>
                <w:rFonts w:cs="Arial"/>
                <w:bCs/>
                <w:color w:val="000000"/>
                <w:sz w:val="18"/>
                <w:szCs w:val="18"/>
              </w:rPr>
              <w:t>(1,456,479)</w:t>
            </w:r>
          </w:p>
        </w:tc>
      </w:tr>
      <w:tr w:rsidR="00DC7046" w:rsidRPr="00DC7046" w14:paraId="69502CAC" w14:textId="77777777" w:rsidTr="00DC7046">
        <w:trPr>
          <w:trHeight w:val="227"/>
          <w:jc w:val="center"/>
        </w:trPr>
        <w:tc>
          <w:tcPr>
            <w:tcW w:w="5585" w:type="dxa"/>
            <w:tcBorders>
              <w:top w:val="single" w:sz="4" w:space="0" w:color="auto"/>
              <w:left w:val="nil"/>
              <w:right w:val="nil"/>
            </w:tcBorders>
            <w:vAlign w:val="bottom"/>
          </w:tcPr>
          <w:p w14:paraId="7C684BC6" w14:textId="77777777" w:rsidR="00DC7046" w:rsidRPr="00DC7046" w:rsidDel="00940639" w:rsidRDefault="00DC7046" w:rsidP="00DC7046">
            <w:pPr>
              <w:ind w:left="5" w:right="-108" w:hanging="113"/>
              <w:rPr>
                <w:rFonts w:cs="Arial"/>
                <w:sz w:val="18"/>
                <w:szCs w:val="18"/>
              </w:rPr>
            </w:pPr>
            <w:r w:rsidRPr="00DC7046">
              <w:rPr>
                <w:sz w:val="18"/>
                <w:szCs w:val="18"/>
              </w:rPr>
              <w:t xml:space="preserve"> </w:t>
            </w:r>
          </w:p>
        </w:tc>
        <w:tc>
          <w:tcPr>
            <w:tcW w:w="634" w:type="dxa"/>
            <w:tcBorders>
              <w:top w:val="single" w:sz="4" w:space="0" w:color="auto"/>
              <w:left w:val="nil"/>
              <w:right w:val="nil"/>
            </w:tcBorders>
            <w:vAlign w:val="bottom"/>
          </w:tcPr>
          <w:p w14:paraId="482FD34E" w14:textId="77777777" w:rsidR="00DC7046" w:rsidRPr="00DC7046" w:rsidRDefault="00DC7046" w:rsidP="00DC7046">
            <w:pPr>
              <w:snapToGrid w:val="0"/>
              <w:ind w:left="-108" w:right="-108"/>
              <w:jc w:val="center"/>
              <w:rPr>
                <w:rFonts w:cs="Arial"/>
                <w:bCs/>
                <w:color w:val="000000"/>
                <w:sz w:val="18"/>
                <w:szCs w:val="18"/>
              </w:rPr>
            </w:pPr>
          </w:p>
        </w:tc>
        <w:tc>
          <w:tcPr>
            <w:tcW w:w="1764" w:type="dxa"/>
            <w:tcBorders>
              <w:top w:val="single" w:sz="4" w:space="0" w:color="auto"/>
              <w:left w:val="nil"/>
              <w:right w:val="nil"/>
            </w:tcBorders>
            <w:shd w:val="clear" w:color="auto" w:fill="auto"/>
            <w:vAlign w:val="bottom"/>
          </w:tcPr>
          <w:p w14:paraId="6DCA3239" w14:textId="77777777" w:rsidR="00DC7046" w:rsidRPr="00DC7046" w:rsidRDefault="00DC7046" w:rsidP="003E68E4">
            <w:pPr>
              <w:tabs>
                <w:tab w:val="decimal" w:pos="1418"/>
              </w:tabs>
              <w:jc w:val="right"/>
              <w:rPr>
                <w:rFonts w:cs="Arial"/>
                <w:b/>
                <w:bCs/>
                <w:color w:val="000000"/>
                <w:sz w:val="18"/>
                <w:szCs w:val="18"/>
              </w:rPr>
            </w:pPr>
          </w:p>
        </w:tc>
        <w:tc>
          <w:tcPr>
            <w:tcW w:w="1764" w:type="dxa"/>
            <w:tcBorders>
              <w:top w:val="single" w:sz="4" w:space="0" w:color="auto"/>
              <w:left w:val="nil"/>
              <w:right w:val="nil"/>
            </w:tcBorders>
            <w:vAlign w:val="bottom"/>
          </w:tcPr>
          <w:p w14:paraId="00F59B37" w14:textId="77777777" w:rsidR="00DC7046" w:rsidRPr="003E68E4" w:rsidRDefault="00DC7046" w:rsidP="00DC7046">
            <w:pPr>
              <w:tabs>
                <w:tab w:val="decimal" w:pos="1418"/>
              </w:tabs>
              <w:rPr>
                <w:rFonts w:cs="Arial"/>
                <w:bCs/>
                <w:color w:val="000000"/>
                <w:sz w:val="18"/>
                <w:szCs w:val="18"/>
              </w:rPr>
            </w:pPr>
          </w:p>
        </w:tc>
      </w:tr>
      <w:tr w:rsidR="00DC7046" w:rsidRPr="00DC7046" w14:paraId="1FAD5CEB" w14:textId="77777777" w:rsidTr="00DC7046">
        <w:trPr>
          <w:trHeight w:val="227"/>
          <w:jc w:val="center"/>
        </w:trPr>
        <w:tc>
          <w:tcPr>
            <w:tcW w:w="5585" w:type="dxa"/>
            <w:tcBorders>
              <w:left w:val="nil"/>
              <w:bottom w:val="single" w:sz="4" w:space="0" w:color="auto"/>
              <w:right w:val="nil"/>
            </w:tcBorders>
            <w:vAlign w:val="bottom"/>
          </w:tcPr>
          <w:p w14:paraId="43CEBC52" w14:textId="77777777" w:rsidR="00DC7046" w:rsidRPr="00DC7046" w:rsidRDefault="00DC7046" w:rsidP="00DC7046">
            <w:pPr>
              <w:ind w:left="5" w:right="-108" w:hanging="113"/>
              <w:rPr>
                <w:rFonts w:cs="Arial"/>
                <w:sz w:val="18"/>
                <w:szCs w:val="18"/>
              </w:rPr>
            </w:pPr>
            <w:r w:rsidRPr="00DC7046">
              <w:rPr>
                <w:sz w:val="18"/>
                <w:szCs w:val="18"/>
              </w:rPr>
              <w:t>Effect of foreign exchange difference on cash and cash equivalents</w:t>
            </w:r>
          </w:p>
        </w:tc>
        <w:tc>
          <w:tcPr>
            <w:tcW w:w="634" w:type="dxa"/>
            <w:tcBorders>
              <w:left w:val="nil"/>
              <w:bottom w:val="single" w:sz="4" w:space="0" w:color="auto"/>
              <w:right w:val="nil"/>
            </w:tcBorders>
            <w:vAlign w:val="bottom"/>
          </w:tcPr>
          <w:p w14:paraId="6D1B6210" w14:textId="77777777" w:rsidR="00DC7046" w:rsidRPr="00DC7046" w:rsidRDefault="00DC7046" w:rsidP="00DC7046">
            <w:pPr>
              <w:snapToGrid w:val="0"/>
              <w:ind w:left="-108" w:right="-108"/>
              <w:jc w:val="center"/>
              <w:rPr>
                <w:rFonts w:cs="Arial"/>
                <w:bCs/>
                <w:color w:val="000000"/>
                <w:sz w:val="18"/>
                <w:szCs w:val="18"/>
                <w:lang w:val="en-US"/>
              </w:rPr>
            </w:pPr>
          </w:p>
        </w:tc>
        <w:tc>
          <w:tcPr>
            <w:tcW w:w="1764" w:type="dxa"/>
            <w:tcBorders>
              <w:left w:val="nil"/>
              <w:bottom w:val="single" w:sz="4" w:space="0" w:color="auto"/>
              <w:right w:val="nil"/>
            </w:tcBorders>
            <w:shd w:val="clear" w:color="auto" w:fill="auto"/>
            <w:vAlign w:val="bottom"/>
          </w:tcPr>
          <w:p w14:paraId="4E8DFC91" w14:textId="081E1622"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(26,778)</w:t>
            </w:r>
          </w:p>
        </w:tc>
        <w:tc>
          <w:tcPr>
            <w:tcW w:w="1764" w:type="dxa"/>
            <w:tcBorders>
              <w:left w:val="nil"/>
              <w:bottom w:val="single" w:sz="4" w:space="0" w:color="auto"/>
              <w:right w:val="nil"/>
            </w:tcBorders>
            <w:vAlign w:val="bottom"/>
          </w:tcPr>
          <w:p w14:paraId="381F3126" w14:textId="217EC668" w:rsidR="00DC7046" w:rsidRPr="003E68E4" w:rsidRDefault="007C0978" w:rsidP="00DC7046">
            <w:pPr>
              <w:tabs>
                <w:tab w:val="decimal" w:pos="1418"/>
              </w:tabs>
              <w:rPr>
                <w:rFonts w:cs="Arial"/>
                <w:bCs/>
                <w:color w:val="000000"/>
                <w:sz w:val="18"/>
                <w:szCs w:val="18"/>
              </w:rPr>
            </w:pPr>
            <w:r w:rsidRPr="003E68E4">
              <w:rPr>
                <w:rFonts w:cs="Arial"/>
                <w:bCs/>
                <w:color w:val="000000"/>
                <w:sz w:val="18"/>
                <w:szCs w:val="18"/>
              </w:rPr>
              <w:t>(2,913)</w:t>
            </w:r>
          </w:p>
        </w:tc>
      </w:tr>
      <w:tr w:rsidR="00DC7046" w:rsidRPr="00DC7046" w14:paraId="41DB176D" w14:textId="77777777" w:rsidTr="00DC7046">
        <w:trPr>
          <w:trHeight w:val="227"/>
          <w:jc w:val="center"/>
        </w:trPr>
        <w:tc>
          <w:tcPr>
            <w:tcW w:w="5585" w:type="dxa"/>
            <w:tcBorders>
              <w:top w:val="single" w:sz="4" w:space="0" w:color="auto"/>
              <w:left w:val="nil"/>
              <w:right w:val="nil"/>
            </w:tcBorders>
            <w:vAlign w:val="bottom"/>
          </w:tcPr>
          <w:p w14:paraId="58D25C3E" w14:textId="5454B470" w:rsidR="00DC7046" w:rsidRPr="00DC7046" w:rsidRDefault="00DC7046" w:rsidP="00DC7046">
            <w:pPr>
              <w:ind w:left="5" w:right="-108" w:hanging="113"/>
              <w:rPr>
                <w:rFonts w:cs="Arial"/>
                <w:sz w:val="18"/>
                <w:szCs w:val="18"/>
              </w:rPr>
            </w:pPr>
            <w:r w:rsidRPr="00DC7046">
              <w:rPr>
                <w:b/>
                <w:bCs/>
                <w:sz w:val="18"/>
                <w:szCs w:val="18"/>
              </w:rPr>
              <w:t>Net increase</w:t>
            </w:r>
            <w:r w:rsidR="007C0978">
              <w:rPr>
                <w:b/>
                <w:bCs/>
                <w:sz w:val="18"/>
                <w:szCs w:val="18"/>
              </w:rPr>
              <w:t>/</w:t>
            </w:r>
            <w:r w:rsidRPr="00DC7046">
              <w:rPr>
                <w:b/>
                <w:bCs/>
                <w:sz w:val="18"/>
                <w:szCs w:val="18"/>
              </w:rPr>
              <w:t>(decrease) in cash and cash equivalents</w:t>
            </w:r>
          </w:p>
        </w:tc>
        <w:tc>
          <w:tcPr>
            <w:tcW w:w="634" w:type="dxa"/>
            <w:tcBorders>
              <w:top w:val="single" w:sz="4" w:space="0" w:color="auto"/>
              <w:left w:val="nil"/>
              <w:right w:val="nil"/>
            </w:tcBorders>
            <w:vAlign w:val="bottom"/>
          </w:tcPr>
          <w:p w14:paraId="19298B32" w14:textId="77777777" w:rsidR="00DC7046" w:rsidRPr="00DC7046" w:rsidRDefault="00DC7046" w:rsidP="00DC7046">
            <w:pPr>
              <w:snapToGrid w:val="0"/>
              <w:ind w:left="-108" w:right="-108"/>
              <w:jc w:val="center"/>
              <w:rPr>
                <w:rFonts w:cs="Arial"/>
                <w:bCs/>
                <w:color w:val="000000"/>
                <w:sz w:val="18"/>
                <w:szCs w:val="18"/>
                <w:lang w:val="en-US"/>
              </w:rPr>
            </w:pPr>
          </w:p>
        </w:tc>
        <w:tc>
          <w:tcPr>
            <w:tcW w:w="1764" w:type="dxa"/>
            <w:tcBorders>
              <w:top w:val="single" w:sz="4" w:space="0" w:color="auto"/>
              <w:left w:val="nil"/>
              <w:right w:val="nil"/>
            </w:tcBorders>
            <w:shd w:val="clear" w:color="auto" w:fill="auto"/>
            <w:vAlign w:val="bottom"/>
          </w:tcPr>
          <w:p w14:paraId="69CDBA61" w14:textId="7B92031F"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2,632,640</w:t>
            </w:r>
          </w:p>
        </w:tc>
        <w:tc>
          <w:tcPr>
            <w:tcW w:w="1764" w:type="dxa"/>
            <w:tcBorders>
              <w:top w:val="single" w:sz="4" w:space="0" w:color="auto"/>
              <w:left w:val="nil"/>
              <w:right w:val="nil"/>
            </w:tcBorders>
            <w:vAlign w:val="bottom"/>
          </w:tcPr>
          <w:p w14:paraId="14740471" w14:textId="3E4C7647" w:rsidR="00DC7046" w:rsidRPr="003E68E4" w:rsidRDefault="007C0978" w:rsidP="00DC7046">
            <w:pPr>
              <w:tabs>
                <w:tab w:val="decimal" w:pos="1418"/>
              </w:tabs>
              <w:rPr>
                <w:rFonts w:cs="Arial"/>
                <w:bCs/>
                <w:color w:val="000000"/>
                <w:sz w:val="18"/>
                <w:szCs w:val="18"/>
              </w:rPr>
            </w:pPr>
            <w:r w:rsidRPr="003E68E4">
              <w:rPr>
                <w:rFonts w:cs="Arial"/>
                <w:bCs/>
                <w:color w:val="000000"/>
                <w:sz w:val="18"/>
                <w:szCs w:val="18"/>
              </w:rPr>
              <w:t>(2,674,493)</w:t>
            </w:r>
          </w:p>
        </w:tc>
      </w:tr>
      <w:tr w:rsidR="003E68E4" w:rsidRPr="00DC7046" w14:paraId="4BB69006" w14:textId="77777777" w:rsidTr="003E68E4">
        <w:trPr>
          <w:trHeight w:val="429"/>
          <w:jc w:val="center"/>
        </w:trPr>
        <w:tc>
          <w:tcPr>
            <w:tcW w:w="5585" w:type="dxa"/>
            <w:tcBorders>
              <w:top w:val="single" w:sz="4" w:space="0" w:color="auto"/>
              <w:left w:val="nil"/>
              <w:right w:val="nil"/>
            </w:tcBorders>
            <w:vAlign w:val="bottom"/>
          </w:tcPr>
          <w:p w14:paraId="1707AB83" w14:textId="68E0ADAB" w:rsidR="003E68E4" w:rsidRPr="001D67A5" w:rsidRDefault="003E68E4" w:rsidP="00DC7046">
            <w:pPr>
              <w:ind w:left="5" w:right="-108" w:hanging="113"/>
              <w:rPr>
                <w:sz w:val="18"/>
                <w:szCs w:val="18"/>
              </w:rPr>
            </w:pPr>
            <w:r w:rsidRPr="001D67A5">
              <w:rPr>
                <w:sz w:val="18"/>
                <w:szCs w:val="18"/>
              </w:rPr>
              <w:t>Change in impairment provision</w:t>
            </w:r>
          </w:p>
        </w:tc>
        <w:tc>
          <w:tcPr>
            <w:tcW w:w="634" w:type="dxa"/>
            <w:tcBorders>
              <w:top w:val="single" w:sz="4" w:space="0" w:color="auto"/>
              <w:left w:val="nil"/>
              <w:right w:val="nil"/>
            </w:tcBorders>
            <w:vAlign w:val="bottom"/>
          </w:tcPr>
          <w:p w14:paraId="1C4B7125" w14:textId="77777777" w:rsidR="003E68E4" w:rsidRPr="00DC7046" w:rsidRDefault="003E68E4" w:rsidP="00DC7046">
            <w:pPr>
              <w:snapToGrid w:val="0"/>
              <w:ind w:left="-108" w:right="-108"/>
              <w:jc w:val="center"/>
              <w:rPr>
                <w:rFonts w:cs="Arial"/>
                <w:bCs/>
                <w:color w:val="000000"/>
                <w:sz w:val="18"/>
                <w:szCs w:val="18"/>
                <w:lang w:val="en-US"/>
              </w:rPr>
            </w:pPr>
          </w:p>
        </w:tc>
        <w:tc>
          <w:tcPr>
            <w:tcW w:w="1764" w:type="dxa"/>
            <w:tcBorders>
              <w:top w:val="single" w:sz="4" w:space="0" w:color="auto"/>
              <w:left w:val="nil"/>
              <w:right w:val="nil"/>
            </w:tcBorders>
            <w:shd w:val="clear" w:color="auto" w:fill="auto"/>
            <w:vAlign w:val="bottom"/>
          </w:tcPr>
          <w:p w14:paraId="154066E5" w14:textId="773B568A" w:rsidR="003E68E4" w:rsidRPr="00DC7046" w:rsidRDefault="003E68E4" w:rsidP="003E68E4">
            <w:pPr>
              <w:tabs>
                <w:tab w:val="decimal" w:pos="1418"/>
              </w:tabs>
              <w:jc w:val="right"/>
              <w:rPr>
                <w:rFonts w:cs="Arial"/>
                <w:b/>
                <w:bCs/>
                <w:color w:val="000000"/>
                <w:sz w:val="18"/>
                <w:szCs w:val="18"/>
              </w:rPr>
            </w:pPr>
            <w:r>
              <w:rPr>
                <w:rFonts w:cs="Arial"/>
                <w:b/>
                <w:bCs/>
                <w:color w:val="000000"/>
                <w:sz w:val="18"/>
                <w:szCs w:val="18"/>
              </w:rPr>
              <w:t>(5,715)</w:t>
            </w:r>
          </w:p>
        </w:tc>
        <w:tc>
          <w:tcPr>
            <w:tcW w:w="1764" w:type="dxa"/>
            <w:tcBorders>
              <w:top w:val="single" w:sz="4" w:space="0" w:color="auto"/>
              <w:left w:val="nil"/>
              <w:right w:val="nil"/>
            </w:tcBorders>
            <w:vAlign w:val="bottom"/>
          </w:tcPr>
          <w:p w14:paraId="62B8197C" w14:textId="3A73EB23" w:rsidR="003E68E4" w:rsidRPr="003E68E4" w:rsidRDefault="003E68E4" w:rsidP="00DC7046">
            <w:pPr>
              <w:tabs>
                <w:tab w:val="decimal" w:pos="1418"/>
              </w:tabs>
              <w:rPr>
                <w:rFonts w:cs="Arial"/>
                <w:bCs/>
                <w:color w:val="000000"/>
                <w:sz w:val="18"/>
                <w:szCs w:val="18"/>
              </w:rPr>
            </w:pPr>
            <w:r w:rsidRPr="003E68E4">
              <w:rPr>
                <w:rFonts w:cs="Arial"/>
                <w:bCs/>
                <w:color w:val="000000"/>
                <w:sz w:val="18"/>
                <w:szCs w:val="18"/>
              </w:rPr>
              <w:t>-</w:t>
            </w:r>
          </w:p>
        </w:tc>
      </w:tr>
      <w:tr w:rsidR="00DC7046" w:rsidRPr="00DC7046" w14:paraId="354816DD" w14:textId="77777777" w:rsidTr="00DC7046">
        <w:trPr>
          <w:trHeight w:val="227"/>
          <w:jc w:val="center"/>
        </w:trPr>
        <w:tc>
          <w:tcPr>
            <w:tcW w:w="5585" w:type="dxa"/>
            <w:tcBorders>
              <w:left w:val="nil"/>
              <w:right w:val="nil"/>
            </w:tcBorders>
            <w:vAlign w:val="bottom"/>
          </w:tcPr>
          <w:p w14:paraId="0D1E892B" w14:textId="77777777" w:rsidR="00DC7046" w:rsidRPr="00DC7046" w:rsidDel="00940639" w:rsidRDefault="00DC7046" w:rsidP="00DC7046">
            <w:pPr>
              <w:ind w:left="5" w:right="-108" w:hanging="113"/>
              <w:rPr>
                <w:rFonts w:cs="Arial"/>
                <w:b/>
                <w:bCs/>
                <w:sz w:val="18"/>
                <w:szCs w:val="18"/>
              </w:rPr>
            </w:pPr>
            <w:r w:rsidRPr="00DC7046">
              <w:rPr>
                <w:b/>
                <w:bCs/>
                <w:sz w:val="18"/>
                <w:szCs w:val="18"/>
              </w:rPr>
              <w:t xml:space="preserve"> </w:t>
            </w:r>
          </w:p>
        </w:tc>
        <w:tc>
          <w:tcPr>
            <w:tcW w:w="634" w:type="dxa"/>
            <w:tcBorders>
              <w:left w:val="nil"/>
              <w:right w:val="nil"/>
            </w:tcBorders>
            <w:vAlign w:val="bottom"/>
          </w:tcPr>
          <w:p w14:paraId="6780DE8E" w14:textId="77777777" w:rsidR="00DC7046" w:rsidRPr="00DC7046" w:rsidRDefault="00DC7046" w:rsidP="00DC7046">
            <w:pPr>
              <w:snapToGrid w:val="0"/>
              <w:ind w:left="-108" w:right="-108"/>
              <w:jc w:val="center"/>
              <w:rPr>
                <w:rFonts w:cs="Arial"/>
                <w:bCs/>
                <w:color w:val="000000"/>
                <w:sz w:val="18"/>
                <w:szCs w:val="18"/>
                <w:lang w:val="ru-RU"/>
              </w:rPr>
            </w:pPr>
          </w:p>
        </w:tc>
        <w:tc>
          <w:tcPr>
            <w:tcW w:w="1764" w:type="dxa"/>
            <w:tcBorders>
              <w:left w:val="nil"/>
              <w:right w:val="nil"/>
            </w:tcBorders>
            <w:shd w:val="clear" w:color="auto" w:fill="auto"/>
            <w:vAlign w:val="bottom"/>
          </w:tcPr>
          <w:p w14:paraId="55E6E6AB" w14:textId="77777777" w:rsidR="00DC7046" w:rsidRPr="00DC7046" w:rsidRDefault="00DC7046" w:rsidP="003E68E4">
            <w:pPr>
              <w:tabs>
                <w:tab w:val="decimal" w:pos="1418"/>
              </w:tabs>
              <w:jc w:val="right"/>
              <w:rPr>
                <w:rFonts w:cs="Arial"/>
                <w:b/>
                <w:bCs/>
                <w:color w:val="000000"/>
                <w:sz w:val="18"/>
                <w:szCs w:val="18"/>
                <w:lang w:val="ru-RU"/>
              </w:rPr>
            </w:pPr>
          </w:p>
        </w:tc>
        <w:tc>
          <w:tcPr>
            <w:tcW w:w="1764" w:type="dxa"/>
            <w:tcBorders>
              <w:left w:val="nil"/>
              <w:right w:val="nil"/>
            </w:tcBorders>
            <w:vAlign w:val="bottom"/>
          </w:tcPr>
          <w:p w14:paraId="162C1C58" w14:textId="77777777" w:rsidR="00DC7046" w:rsidRPr="003E68E4" w:rsidRDefault="00DC7046" w:rsidP="00DC7046">
            <w:pPr>
              <w:tabs>
                <w:tab w:val="decimal" w:pos="1418"/>
              </w:tabs>
              <w:rPr>
                <w:rFonts w:cs="Arial"/>
                <w:bCs/>
                <w:color w:val="000000"/>
                <w:sz w:val="18"/>
                <w:szCs w:val="18"/>
                <w:lang w:val="ru-RU"/>
              </w:rPr>
            </w:pPr>
          </w:p>
        </w:tc>
      </w:tr>
      <w:tr w:rsidR="00DC7046" w:rsidRPr="00DC7046" w14:paraId="0D71D949" w14:textId="77777777" w:rsidTr="00DC7046">
        <w:trPr>
          <w:trHeight w:val="227"/>
          <w:jc w:val="center"/>
        </w:trPr>
        <w:tc>
          <w:tcPr>
            <w:tcW w:w="5585" w:type="dxa"/>
            <w:tcBorders>
              <w:left w:val="nil"/>
              <w:bottom w:val="single" w:sz="4" w:space="0" w:color="auto"/>
              <w:right w:val="nil"/>
            </w:tcBorders>
            <w:vAlign w:val="bottom"/>
          </w:tcPr>
          <w:p w14:paraId="29A1ED49" w14:textId="77777777" w:rsidR="00DC7046" w:rsidRPr="00DC7046" w:rsidRDefault="00DC7046" w:rsidP="00DC7046">
            <w:pPr>
              <w:ind w:left="5" w:right="-108" w:hanging="113"/>
              <w:rPr>
                <w:rFonts w:cs="Arial"/>
                <w:bCs/>
                <w:color w:val="000000"/>
                <w:sz w:val="18"/>
                <w:szCs w:val="18"/>
              </w:rPr>
            </w:pPr>
            <w:r w:rsidRPr="00DC7046">
              <w:rPr>
                <w:sz w:val="18"/>
                <w:szCs w:val="18"/>
              </w:rPr>
              <w:t xml:space="preserve">Cash and cash equivalents as of 1 January </w:t>
            </w:r>
          </w:p>
        </w:tc>
        <w:tc>
          <w:tcPr>
            <w:tcW w:w="634" w:type="dxa"/>
            <w:tcBorders>
              <w:left w:val="nil"/>
              <w:bottom w:val="single" w:sz="4" w:space="0" w:color="auto"/>
              <w:right w:val="nil"/>
            </w:tcBorders>
            <w:vAlign w:val="bottom"/>
          </w:tcPr>
          <w:p w14:paraId="4418CA8F" w14:textId="070DFEAC" w:rsidR="00DC7046" w:rsidRPr="00DC7046" w:rsidRDefault="00DC7046" w:rsidP="00DC7046">
            <w:pPr>
              <w:snapToGrid w:val="0"/>
              <w:ind w:left="-108" w:right="-108"/>
              <w:jc w:val="center"/>
              <w:rPr>
                <w:rFonts w:cs="Arial"/>
                <w:bCs/>
                <w:color w:val="000000"/>
                <w:sz w:val="18"/>
                <w:szCs w:val="18"/>
                <w:lang w:val="en-US"/>
              </w:rPr>
            </w:pPr>
            <w:r>
              <w:rPr>
                <w:rFonts w:cs="Arial"/>
                <w:bCs/>
                <w:color w:val="000000"/>
                <w:sz w:val="18"/>
                <w:szCs w:val="18"/>
                <w:lang w:val="en-US"/>
              </w:rPr>
              <w:t>6</w:t>
            </w:r>
          </w:p>
        </w:tc>
        <w:tc>
          <w:tcPr>
            <w:tcW w:w="1764" w:type="dxa"/>
            <w:tcBorders>
              <w:left w:val="nil"/>
              <w:bottom w:val="single" w:sz="4" w:space="0" w:color="auto"/>
              <w:right w:val="nil"/>
            </w:tcBorders>
            <w:shd w:val="clear" w:color="auto" w:fill="auto"/>
            <w:vAlign w:val="bottom"/>
          </w:tcPr>
          <w:p w14:paraId="061F9CE8" w14:textId="26F03283"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6,563,578</w:t>
            </w:r>
          </w:p>
        </w:tc>
        <w:tc>
          <w:tcPr>
            <w:tcW w:w="1764" w:type="dxa"/>
            <w:tcBorders>
              <w:left w:val="nil"/>
              <w:bottom w:val="single" w:sz="4" w:space="0" w:color="auto"/>
              <w:right w:val="nil"/>
            </w:tcBorders>
            <w:vAlign w:val="bottom"/>
          </w:tcPr>
          <w:p w14:paraId="05D3124D" w14:textId="35A4C6CC" w:rsidR="00DC7046" w:rsidRPr="003E68E4" w:rsidRDefault="007C0978" w:rsidP="00DC7046">
            <w:pPr>
              <w:tabs>
                <w:tab w:val="decimal" w:pos="1418"/>
              </w:tabs>
              <w:rPr>
                <w:rFonts w:cs="Arial"/>
                <w:bCs/>
                <w:color w:val="000000"/>
                <w:sz w:val="18"/>
                <w:szCs w:val="18"/>
              </w:rPr>
            </w:pPr>
            <w:r w:rsidRPr="003E68E4">
              <w:rPr>
                <w:rFonts w:cs="Arial"/>
                <w:bCs/>
                <w:color w:val="000000"/>
                <w:sz w:val="18"/>
                <w:szCs w:val="18"/>
              </w:rPr>
              <w:t>9,238,071</w:t>
            </w:r>
          </w:p>
        </w:tc>
      </w:tr>
      <w:tr w:rsidR="00DC7046" w:rsidRPr="00DC7046" w14:paraId="706C01F1" w14:textId="77777777" w:rsidTr="00DC7046">
        <w:trPr>
          <w:trHeight w:val="227"/>
          <w:jc w:val="center"/>
        </w:trPr>
        <w:tc>
          <w:tcPr>
            <w:tcW w:w="5585" w:type="dxa"/>
            <w:tcBorders>
              <w:top w:val="single" w:sz="4" w:space="0" w:color="auto"/>
              <w:left w:val="nil"/>
              <w:bottom w:val="single" w:sz="12" w:space="0" w:color="auto"/>
              <w:right w:val="nil"/>
            </w:tcBorders>
            <w:vAlign w:val="bottom"/>
          </w:tcPr>
          <w:p w14:paraId="63A979AB" w14:textId="77777777" w:rsidR="00DC7046" w:rsidRPr="00DC7046" w:rsidRDefault="00DC7046" w:rsidP="00DC7046">
            <w:pPr>
              <w:ind w:left="5" w:right="-108" w:hanging="113"/>
              <w:rPr>
                <w:rFonts w:cs="Arial"/>
                <w:b/>
                <w:bCs/>
                <w:color w:val="000000"/>
                <w:sz w:val="18"/>
                <w:szCs w:val="18"/>
              </w:rPr>
            </w:pPr>
            <w:r w:rsidRPr="00DC7046">
              <w:rPr>
                <w:b/>
                <w:bCs/>
                <w:sz w:val="18"/>
                <w:szCs w:val="18"/>
              </w:rPr>
              <w:t>Cash and cash equivalents as of 31 December</w:t>
            </w:r>
          </w:p>
        </w:tc>
        <w:tc>
          <w:tcPr>
            <w:tcW w:w="634" w:type="dxa"/>
            <w:tcBorders>
              <w:top w:val="single" w:sz="4" w:space="0" w:color="auto"/>
              <w:left w:val="nil"/>
              <w:bottom w:val="single" w:sz="12" w:space="0" w:color="auto"/>
              <w:right w:val="nil"/>
            </w:tcBorders>
            <w:vAlign w:val="bottom"/>
          </w:tcPr>
          <w:p w14:paraId="77AD7F24" w14:textId="0CE7F606" w:rsidR="00DC7046" w:rsidRPr="00DC7046" w:rsidRDefault="00DC7046" w:rsidP="00DC7046">
            <w:pPr>
              <w:snapToGrid w:val="0"/>
              <w:ind w:left="-108" w:right="-108"/>
              <w:jc w:val="center"/>
              <w:rPr>
                <w:rFonts w:cs="Arial"/>
                <w:bCs/>
                <w:color w:val="000000"/>
                <w:sz w:val="18"/>
                <w:szCs w:val="18"/>
              </w:rPr>
            </w:pPr>
            <w:r>
              <w:rPr>
                <w:bCs/>
                <w:color w:val="000000"/>
                <w:sz w:val="18"/>
                <w:szCs w:val="18"/>
              </w:rPr>
              <w:t>6</w:t>
            </w:r>
          </w:p>
        </w:tc>
        <w:tc>
          <w:tcPr>
            <w:tcW w:w="1764" w:type="dxa"/>
            <w:tcBorders>
              <w:top w:val="single" w:sz="4" w:space="0" w:color="auto"/>
              <w:left w:val="nil"/>
              <w:bottom w:val="single" w:sz="12" w:space="0" w:color="auto"/>
              <w:right w:val="nil"/>
            </w:tcBorders>
            <w:shd w:val="clear" w:color="auto" w:fill="auto"/>
            <w:vAlign w:val="bottom"/>
          </w:tcPr>
          <w:p w14:paraId="55F3891B" w14:textId="358A521F" w:rsidR="00DC7046" w:rsidRPr="001D67A5" w:rsidRDefault="001D67A5" w:rsidP="003E68E4">
            <w:pPr>
              <w:tabs>
                <w:tab w:val="decimal" w:pos="1418"/>
              </w:tabs>
              <w:jc w:val="right"/>
              <w:rPr>
                <w:rFonts w:cs="Arial"/>
                <w:b/>
                <w:bCs/>
                <w:color w:val="000000"/>
                <w:sz w:val="18"/>
                <w:szCs w:val="18"/>
                <w:lang w:val="ru-RU"/>
              </w:rPr>
            </w:pPr>
            <w:r>
              <w:rPr>
                <w:rFonts w:cs="Arial"/>
                <w:b/>
                <w:bCs/>
                <w:color w:val="000000"/>
                <w:sz w:val="18"/>
                <w:szCs w:val="18"/>
                <w:lang w:val="ru-RU"/>
              </w:rPr>
              <w:t>9,190,503</w:t>
            </w:r>
          </w:p>
        </w:tc>
        <w:tc>
          <w:tcPr>
            <w:tcW w:w="1764" w:type="dxa"/>
            <w:tcBorders>
              <w:top w:val="single" w:sz="4" w:space="0" w:color="auto"/>
              <w:left w:val="nil"/>
              <w:bottom w:val="single" w:sz="12" w:space="0" w:color="auto"/>
              <w:right w:val="nil"/>
            </w:tcBorders>
            <w:vAlign w:val="bottom"/>
          </w:tcPr>
          <w:p w14:paraId="7ADFA28D" w14:textId="72349449" w:rsidR="00DC7046" w:rsidRPr="003E68E4" w:rsidRDefault="007C0978" w:rsidP="00DC7046">
            <w:pPr>
              <w:tabs>
                <w:tab w:val="decimal" w:pos="1418"/>
              </w:tabs>
              <w:rPr>
                <w:rFonts w:cs="Arial"/>
                <w:bCs/>
                <w:color w:val="000000"/>
                <w:sz w:val="18"/>
                <w:szCs w:val="18"/>
              </w:rPr>
            </w:pPr>
            <w:r w:rsidRPr="003E68E4">
              <w:rPr>
                <w:rFonts w:cs="Arial"/>
                <w:bCs/>
                <w:color w:val="000000"/>
                <w:sz w:val="18"/>
                <w:szCs w:val="18"/>
              </w:rPr>
              <w:t>6,563,578</w:t>
            </w:r>
          </w:p>
        </w:tc>
      </w:tr>
      <w:bookmarkEnd w:id="13"/>
    </w:tbl>
    <w:p w14:paraId="5333F85C" w14:textId="77777777" w:rsidR="00DC7046" w:rsidRDefault="00DC7046" w:rsidP="00DC7046">
      <w:pPr>
        <w:rPr>
          <w:rFonts w:ascii="Times New Roman" w:hAnsi="Times New Roman" w:cs="Times New Roman"/>
          <w:sz w:val="22"/>
          <w:lang w:val="en-US"/>
        </w:rPr>
      </w:pPr>
    </w:p>
    <w:p w14:paraId="245165B2" w14:textId="5F7B3C85" w:rsidR="007C0978" w:rsidRPr="0095394E" w:rsidRDefault="007C0978" w:rsidP="007C0978">
      <w:pPr>
        <w:jc w:val="both"/>
        <w:rPr>
          <w:rFonts w:cs="Times New Roman"/>
          <w:i/>
          <w:iCs/>
          <w:sz w:val="18"/>
          <w:szCs w:val="18"/>
          <w:lang w:val="en-US"/>
        </w:rPr>
      </w:pPr>
      <w:r w:rsidRPr="0095394E">
        <w:rPr>
          <w:rFonts w:cs="Times New Roman"/>
          <w:i/>
          <w:iCs/>
          <w:sz w:val="18"/>
          <w:szCs w:val="18"/>
          <w:lang w:val="en-US"/>
        </w:rPr>
        <w:t xml:space="preserve">During the current year, the Company </w:t>
      </w:r>
      <w:proofErr w:type="gramStart"/>
      <w:r w:rsidRPr="0095394E">
        <w:rPr>
          <w:rFonts w:cs="Times New Roman"/>
          <w:i/>
          <w:iCs/>
          <w:sz w:val="18"/>
          <w:szCs w:val="18"/>
          <w:lang w:val="en-US"/>
        </w:rPr>
        <w:t>entered into</w:t>
      </w:r>
      <w:proofErr w:type="gramEnd"/>
      <w:r w:rsidRPr="0095394E">
        <w:rPr>
          <w:rFonts w:cs="Times New Roman"/>
          <w:i/>
          <w:iCs/>
          <w:sz w:val="18"/>
          <w:szCs w:val="18"/>
          <w:lang w:val="en-US"/>
        </w:rPr>
        <w:t xml:space="preserve"> the non-cash investing, operating and financing activities, which are not reflected in statement of cash flows:</w:t>
      </w:r>
    </w:p>
    <w:p w14:paraId="0E14F148" w14:textId="64F9B183" w:rsidR="007C0978" w:rsidRPr="0095394E" w:rsidRDefault="007C0978" w:rsidP="007C0978">
      <w:pPr>
        <w:pStyle w:val="ListParagraph"/>
        <w:numPr>
          <w:ilvl w:val="0"/>
          <w:numId w:val="3"/>
        </w:numPr>
        <w:jc w:val="both"/>
        <w:rPr>
          <w:rFonts w:cs="Times New Roman"/>
          <w:i/>
          <w:iCs/>
          <w:sz w:val="18"/>
          <w:szCs w:val="18"/>
          <w:lang w:val="en-US"/>
        </w:rPr>
      </w:pPr>
      <w:r w:rsidRPr="0095394E">
        <w:rPr>
          <w:rFonts w:cs="Times New Roman"/>
          <w:i/>
          <w:iCs/>
          <w:sz w:val="18"/>
          <w:szCs w:val="18"/>
          <w:lang w:val="en-US"/>
        </w:rPr>
        <w:t xml:space="preserve">Public utilities amounting AZN </w:t>
      </w:r>
      <w:r w:rsidR="00107E64" w:rsidRPr="0095394E">
        <w:rPr>
          <w:rFonts w:cs="Times New Roman"/>
          <w:i/>
          <w:iCs/>
          <w:sz w:val="18"/>
          <w:szCs w:val="18"/>
        </w:rPr>
        <w:t>10</w:t>
      </w:r>
      <w:r w:rsidR="00107E64" w:rsidRPr="0095394E">
        <w:rPr>
          <w:rFonts w:cs="Times New Roman"/>
          <w:i/>
          <w:iCs/>
          <w:sz w:val="18"/>
          <w:szCs w:val="18"/>
          <w:lang w:val="en-US"/>
        </w:rPr>
        <w:t>,494</w:t>
      </w:r>
      <w:r w:rsidRPr="0095394E">
        <w:rPr>
          <w:rFonts w:cs="Times New Roman"/>
          <w:i/>
          <w:iCs/>
          <w:sz w:val="18"/>
          <w:szCs w:val="18"/>
          <w:lang w:val="en-US"/>
        </w:rPr>
        <w:t xml:space="preserve">, rental services amounting AZN </w:t>
      </w:r>
      <w:r w:rsidR="00107E64" w:rsidRPr="0095394E">
        <w:rPr>
          <w:rFonts w:cs="Times New Roman"/>
          <w:i/>
          <w:iCs/>
          <w:sz w:val="18"/>
          <w:szCs w:val="18"/>
          <w:lang w:val="en-US"/>
        </w:rPr>
        <w:t>80,400</w:t>
      </w:r>
      <w:r w:rsidRPr="0095394E">
        <w:rPr>
          <w:rFonts w:cs="Times New Roman"/>
          <w:i/>
          <w:iCs/>
          <w:sz w:val="18"/>
          <w:szCs w:val="18"/>
          <w:lang w:val="en-US"/>
        </w:rPr>
        <w:t xml:space="preserve"> and premiums for various insurance services amounting AZN </w:t>
      </w:r>
      <w:r w:rsidR="004C48C1" w:rsidRPr="0095394E">
        <w:rPr>
          <w:rFonts w:cs="Times New Roman"/>
          <w:i/>
          <w:iCs/>
          <w:sz w:val="18"/>
          <w:szCs w:val="18"/>
          <w:lang w:val="en-US"/>
        </w:rPr>
        <w:t>52,977</w:t>
      </w:r>
      <w:r w:rsidRPr="0095394E">
        <w:rPr>
          <w:rFonts w:cs="Times New Roman"/>
          <w:i/>
          <w:iCs/>
          <w:sz w:val="18"/>
          <w:szCs w:val="18"/>
          <w:lang w:val="en-US"/>
        </w:rPr>
        <w:t xml:space="preserve"> provided to “</w:t>
      </w:r>
      <w:proofErr w:type="spellStart"/>
      <w:r w:rsidRPr="0095394E">
        <w:rPr>
          <w:rFonts w:cs="Times New Roman"/>
          <w:i/>
          <w:iCs/>
          <w:sz w:val="18"/>
          <w:szCs w:val="18"/>
          <w:lang w:val="en-US"/>
        </w:rPr>
        <w:t>MediClub</w:t>
      </w:r>
      <w:proofErr w:type="spellEnd"/>
      <w:r w:rsidRPr="0095394E">
        <w:rPr>
          <w:rFonts w:cs="Times New Roman"/>
          <w:i/>
          <w:iCs/>
          <w:sz w:val="18"/>
          <w:szCs w:val="18"/>
          <w:lang w:val="en-US"/>
        </w:rPr>
        <w:t xml:space="preserve">” were countervailed with insurance claim payables for total amount of AZN </w:t>
      </w:r>
      <w:r w:rsidR="004C48C1" w:rsidRPr="0095394E">
        <w:rPr>
          <w:rFonts w:cs="Times New Roman"/>
          <w:i/>
          <w:iCs/>
          <w:sz w:val="18"/>
          <w:szCs w:val="18"/>
          <w:lang w:val="en-US"/>
        </w:rPr>
        <w:t>143,871</w:t>
      </w:r>
    </w:p>
    <w:p w14:paraId="4866D4BF" w14:textId="77777777" w:rsidR="007C0978" w:rsidRDefault="007C0978" w:rsidP="007C0978">
      <w:pPr>
        <w:rPr>
          <w:rFonts w:ascii="Times New Roman" w:hAnsi="Times New Roman" w:cs="Times New Roman"/>
          <w:sz w:val="22"/>
          <w:lang w:val="en-US"/>
        </w:rPr>
      </w:pPr>
    </w:p>
    <w:p w14:paraId="346E5070" w14:textId="77777777" w:rsidR="007C0978" w:rsidRDefault="007C0978" w:rsidP="007C0978">
      <w:pPr>
        <w:rPr>
          <w:rFonts w:ascii="Times New Roman" w:hAnsi="Times New Roman" w:cs="Times New Roman"/>
          <w:sz w:val="22"/>
          <w:lang w:val="en-US"/>
        </w:rPr>
      </w:pPr>
    </w:p>
    <w:p w14:paraId="24F169FD" w14:textId="77777777" w:rsidR="007C0978" w:rsidRDefault="007C0978" w:rsidP="007C0978">
      <w:pPr>
        <w:rPr>
          <w:rFonts w:ascii="Times New Roman" w:hAnsi="Times New Roman" w:cs="Times New Roman"/>
          <w:sz w:val="22"/>
          <w:lang w:val="en-US"/>
        </w:rPr>
      </w:pPr>
    </w:p>
    <w:p w14:paraId="12D48207" w14:textId="77777777" w:rsidR="007C0978" w:rsidRDefault="007C0978" w:rsidP="007C0978">
      <w:pPr>
        <w:rPr>
          <w:rFonts w:ascii="Times New Roman" w:hAnsi="Times New Roman" w:cs="Times New Roman"/>
          <w:sz w:val="22"/>
          <w:lang w:val="en-US"/>
        </w:rPr>
      </w:pPr>
    </w:p>
    <w:p w14:paraId="26296EED" w14:textId="77777777" w:rsidR="007C0978" w:rsidRDefault="007C0978" w:rsidP="007C0978">
      <w:pPr>
        <w:rPr>
          <w:rFonts w:ascii="Times New Roman" w:hAnsi="Times New Roman" w:cs="Times New Roman"/>
          <w:sz w:val="22"/>
          <w:lang w:val="en-US"/>
        </w:rPr>
      </w:pPr>
    </w:p>
    <w:p w14:paraId="1E91507E" w14:textId="77777777" w:rsidR="007C0978" w:rsidRDefault="007C0978" w:rsidP="007C0978">
      <w:pPr>
        <w:rPr>
          <w:rFonts w:ascii="Times New Roman" w:hAnsi="Times New Roman" w:cs="Times New Roman"/>
          <w:sz w:val="22"/>
          <w:lang w:val="en-US"/>
        </w:rPr>
      </w:pPr>
    </w:p>
    <w:tbl>
      <w:tblPr>
        <w:tblW w:w="9214" w:type="dxa"/>
        <w:tblLook w:val="04A0" w:firstRow="1" w:lastRow="0" w:firstColumn="1" w:lastColumn="0" w:noHBand="0" w:noVBand="1"/>
      </w:tblPr>
      <w:tblGrid>
        <w:gridCol w:w="3320"/>
        <w:gridCol w:w="2980"/>
        <w:gridCol w:w="2914"/>
      </w:tblGrid>
      <w:tr w:rsidR="007C0978" w:rsidRPr="00DD7EB8" w14:paraId="52D8B2A9" w14:textId="77777777" w:rsidTr="007D3517">
        <w:trPr>
          <w:trHeight w:val="288"/>
        </w:trPr>
        <w:tc>
          <w:tcPr>
            <w:tcW w:w="3320" w:type="dxa"/>
            <w:tcBorders>
              <w:top w:val="nil"/>
              <w:left w:val="nil"/>
              <w:bottom w:val="single" w:sz="4" w:space="0" w:color="auto"/>
              <w:right w:val="nil"/>
            </w:tcBorders>
            <w:shd w:val="clear" w:color="auto" w:fill="auto"/>
            <w:noWrap/>
            <w:vAlign w:val="bottom"/>
            <w:hideMark/>
          </w:tcPr>
          <w:p w14:paraId="47C9B5CF" w14:textId="77777777" w:rsidR="007C0978" w:rsidRPr="00DD7EB8" w:rsidRDefault="007C0978" w:rsidP="007D3517">
            <w:pPr>
              <w:rPr>
                <w:rFonts w:eastAsia="Times New Roman" w:cs="Times New Roman"/>
                <w:color w:val="000000"/>
                <w:szCs w:val="20"/>
                <w:lang w:eastAsia="en-GB"/>
              </w:rPr>
            </w:pPr>
            <w:r w:rsidRPr="00DD7EB8">
              <w:rPr>
                <w:rFonts w:eastAsia="Times New Roman" w:cs="Times New Roman"/>
                <w:color w:val="000000"/>
                <w:szCs w:val="20"/>
                <w:lang w:eastAsia="en-GB"/>
              </w:rPr>
              <w:t> </w:t>
            </w:r>
          </w:p>
        </w:tc>
        <w:tc>
          <w:tcPr>
            <w:tcW w:w="2980" w:type="dxa"/>
            <w:tcBorders>
              <w:top w:val="nil"/>
              <w:left w:val="nil"/>
              <w:bottom w:val="nil"/>
              <w:right w:val="nil"/>
            </w:tcBorders>
            <w:shd w:val="clear" w:color="auto" w:fill="auto"/>
            <w:noWrap/>
            <w:vAlign w:val="bottom"/>
            <w:hideMark/>
          </w:tcPr>
          <w:p w14:paraId="20509D58" w14:textId="77777777" w:rsidR="007C0978" w:rsidRPr="00DD7EB8" w:rsidRDefault="007C0978" w:rsidP="007D3517">
            <w:pPr>
              <w:rPr>
                <w:rFonts w:eastAsia="Times New Roman" w:cs="Times New Roman"/>
                <w:color w:val="000000"/>
                <w:szCs w:val="20"/>
                <w:lang w:eastAsia="en-GB"/>
              </w:rPr>
            </w:pPr>
          </w:p>
        </w:tc>
        <w:tc>
          <w:tcPr>
            <w:tcW w:w="2914" w:type="dxa"/>
            <w:tcBorders>
              <w:top w:val="nil"/>
              <w:left w:val="nil"/>
              <w:bottom w:val="single" w:sz="4" w:space="0" w:color="auto"/>
              <w:right w:val="nil"/>
            </w:tcBorders>
            <w:shd w:val="clear" w:color="auto" w:fill="auto"/>
            <w:noWrap/>
            <w:vAlign w:val="bottom"/>
            <w:hideMark/>
          </w:tcPr>
          <w:p w14:paraId="4FB0F5F6" w14:textId="77777777" w:rsidR="007C0978" w:rsidRPr="00DD7EB8" w:rsidRDefault="007C0978" w:rsidP="007D3517">
            <w:pPr>
              <w:rPr>
                <w:rFonts w:eastAsia="Times New Roman" w:cs="Times New Roman"/>
                <w:color w:val="000000"/>
                <w:szCs w:val="20"/>
                <w:lang w:eastAsia="en-GB"/>
              </w:rPr>
            </w:pPr>
            <w:r w:rsidRPr="00DD7EB8">
              <w:rPr>
                <w:rFonts w:eastAsia="Times New Roman" w:cs="Times New Roman"/>
                <w:color w:val="000000"/>
                <w:szCs w:val="20"/>
                <w:lang w:eastAsia="en-GB"/>
              </w:rPr>
              <w:t> </w:t>
            </w:r>
          </w:p>
        </w:tc>
      </w:tr>
      <w:tr w:rsidR="007C0978" w:rsidRPr="00DD7EB8" w14:paraId="2401C3D0" w14:textId="77777777" w:rsidTr="007D3517">
        <w:trPr>
          <w:trHeight w:val="288"/>
        </w:trPr>
        <w:tc>
          <w:tcPr>
            <w:tcW w:w="3320" w:type="dxa"/>
            <w:tcBorders>
              <w:top w:val="nil"/>
              <w:left w:val="nil"/>
              <w:bottom w:val="nil"/>
              <w:right w:val="nil"/>
            </w:tcBorders>
            <w:shd w:val="clear" w:color="auto" w:fill="auto"/>
            <w:noWrap/>
            <w:vAlign w:val="bottom"/>
            <w:hideMark/>
          </w:tcPr>
          <w:p w14:paraId="5E4AE47F" w14:textId="77777777" w:rsidR="007C0978" w:rsidRPr="00DD7EB8" w:rsidRDefault="007C0978" w:rsidP="007D3517">
            <w:pPr>
              <w:rPr>
                <w:rFonts w:eastAsia="Times New Roman" w:cs="Times New Roman"/>
                <w:color w:val="000000"/>
                <w:szCs w:val="20"/>
                <w:lang w:eastAsia="en-GB"/>
              </w:rPr>
            </w:pPr>
            <w:proofErr w:type="spellStart"/>
            <w:r w:rsidRPr="00DD7EB8">
              <w:rPr>
                <w:rFonts w:eastAsia="Times New Roman" w:cs="Times New Roman"/>
                <w:color w:val="000000"/>
                <w:szCs w:val="20"/>
                <w:lang w:eastAsia="en-GB"/>
              </w:rPr>
              <w:t>Anar</w:t>
            </w:r>
            <w:proofErr w:type="spellEnd"/>
            <w:r w:rsidRPr="00DD7EB8">
              <w:rPr>
                <w:rFonts w:eastAsia="Times New Roman" w:cs="Times New Roman"/>
                <w:color w:val="000000"/>
                <w:szCs w:val="20"/>
                <w:lang w:eastAsia="en-GB"/>
              </w:rPr>
              <w:t xml:space="preserve"> Bayramov</w:t>
            </w:r>
          </w:p>
        </w:tc>
        <w:tc>
          <w:tcPr>
            <w:tcW w:w="2980" w:type="dxa"/>
            <w:tcBorders>
              <w:top w:val="nil"/>
              <w:left w:val="nil"/>
              <w:bottom w:val="nil"/>
              <w:right w:val="nil"/>
            </w:tcBorders>
            <w:shd w:val="clear" w:color="auto" w:fill="auto"/>
            <w:noWrap/>
            <w:vAlign w:val="bottom"/>
            <w:hideMark/>
          </w:tcPr>
          <w:p w14:paraId="7A2CB393" w14:textId="77777777" w:rsidR="007C0978" w:rsidRPr="00DD7EB8" w:rsidRDefault="007C0978" w:rsidP="007D3517">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1FF20DA2" w14:textId="77777777" w:rsidR="007C0978" w:rsidRPr="00DD7EB8" w:rsidRDefault="007C0978" w:rsidP="007D3517">
            <w:pPr>
              <w:rPr>
                <w:rFonts w:eastAsia="Times New Roman" w:cs="Times New Roman"/>
                <w:color w:val="000000"/>
                <w:szCs w:val="20"/>
                <w:lang w:eastAsia="en-GB"/>
              </w:rPr>
            </w:pPr>
            <w:r w:rsidRPr="00DD7EB8">
              <w:rPr>
                <w:rFonts w:eastAsia="Times New Roman" w:cs="Times New Roman"/>
                <w:color w:val="000000"/>
                <w:szCs w:val="20"/>
                <w:lang w:eastAsia="en-GB"/>
              </w:rPr>
              <w:t>Natavan Imamguliyeva</w:t>
            </w:r>
          </w:p>
        </w:tc>
      </w:tr>
      <w:tr w:rsidR="007C0978" w:rsidRPr="00DD7EB8" w14:paraId="5B9A7753" w14:textId="77777777" w:rsidTr="007D3517">
        <w:trPr>
          <w:trHeight w:val="288"/>
        </w:trPr>
        <w:tc>
          <w:tcPr>
            <w:tcW w:w="3320" w:type="dxa"/>
            <w:tcBorders>
              <w:top w:val="nil"/>
              <w:left w:val="nil"/>
              <w:bottom w:val="nil"/>
              <w:right w:val="nil"/>
            </w:tcBorders>
            <w:shd w:val="clear" w:color="auto" w:fill="auto"/>
            <w:noWrap/>
            <w:vAlign w:val="bottom"/>
            <w:hideMark/>
          </w:tcPr>
          <w:p w14:paraId="72C1D2BC" w14:textId="77777777" w:rsidR="007C0978" w:rsidRPr="00DD7EB8" w:rsidRDefault="007C0978" w:rsidP="007D3517">
            <w:pPr>
              <w:rPr>
                <w:rFonts w:eastAsia="Times New Roman" w:cs="Times New Roman"/>
                <w:color w:val="000000"/>
                <w:szCs w:val="20"/>
                <w:lang w:eastAsia="en-GB"/>
              </w:rPr>
            </w:pPr>
            <w:r w:rsidRPr="00DD7EB8">
              <w:rPr>
                <w:rFonts w:eastAsia="Times New Roman" w:cs="Times New Roman"/>
                <w:color w:val="000000"/>
                <w:szCs w:val="20"/>
                <w:lang w:eastAsia="en-GB"/>
              </w:rPr>
              <w:t>Chairman of the Board</w:t>
            </w:r>
          </w:p>
        </w:tc>
        <w:tc>
          <w:tcPr>
            <w:tcW w:w="2980" w:type="dxa"/>
            <w:tcBorders>
              <w:top w:val="nil"/>
              <w:left w:val="nil"/>
              <w:bottom w:val="nil"/>
              <w:right w:val="nil"/>
            </w:tcBorders>
            <w:shd w:val="clear" w:color="auto" w:fill="auto"/>
            <w:noWrap/>
            <w:vAlign w:val="bottom"/>
            <w:hideMark/>
          </w:tcPr>
          <w:p w14:paraId="10BE5DC7" w14:textId="77777777" w:rsidR="007C0978" w:rsidRPr="00DD7EB8" w:rsidRDefault="007C0978" w:rsidP="007D3517">
            <w:pPr>
              <w:rPr>
                <w:rFonts w:eastAsia="Times New Roman" w:cs="Times New Roman"/>
                <w:color w:val="000000"/>
                <w:szCs w:val="20"/>
                <w:lang w:eastAsia="en-GB"/>
              </w:rPr>
            </w:pPr>
          </w:p>
        </w:tc>
        <w:tc>
          <w:tcPr>
            <w:tcW w:w="2914" w:type="dxa"/>
            <w:tcBorders>
              <w:top w:val="nil"/>
              <w:left w:val="nil"/>
              <w:bottom w:val="nil"/>
              <w:right w:val="nil"/>
            </w:tcBorders>
            <w:shd w:val="clear" w:color="auto" w:fill="auto"/>
            <w:noWrap/>
            <w:vAlign w:val="bottom"/>
            <w:hideMark/>
          </w:tcPr>
          <w:p w14:paraId="722048EC" w14:textId="77777777" w:rsidR="007C0978" w:rsidRPr="00DD7EB8" w:rsidRDefault="007C0978" w:rsidP="007D3517">
            <w:pPr>
              <w:rPr>
                <w:rFonts w:eastAsia="Times New Roman" w:cs="Times New Roman"/>
                <w:color w:val="000000"/>
                <w:szCs w:val="20"/>
                <w:lang w:eastAsia="en-GB"/>
              </w:rPr>
            </w:pPr>
            <w:r w:rsidRPr="00DD7EB8">
              <w:rPr>
                <w:rFonts w:eastAsia="Times New Roman" w:cs="Times New Roman"/>
                <w:color w:val="000000"/>
                <w:szCs w:val="20"/>
                <w:lang w:eastAsia="en-GB"/>
              </w:rPr>
              <w:t>Chief Accountant</w:t>
            </w:r>
          </w:p>
        </w:tc>
      </w:tr>
    </w:tbl>
    <w:p w14:paraId="1DC1C010" w14:textId="77777777" w:rsidR="007C0978" w:rsidRDefault="007C0978" w:rsidP="007C0978">
      <w:pPr>
        <w:rPr>
          <w:rFonts w:ascii="Times New Roman" w:hAnsi="Times New Roman" w:cs="Times New Roman"/>
          <w:sz w:val="22"/>
          <w:lang w:val="en-US"/>
        </w:rPr>
      </w:pPr>
    </w:p>
    <w:p w14:paraId="595CCD30" w14:textId="77777777" w:rsidR="007C0978" w:rsidRDefault="007C0978" w:rsidP="007C0978">
      <w:pPr>
        <w:rPr>
          <w:rFonts w:ascii="Times New Roman" w:hAnsi="Times New Roman" w:cs="Times New Roman"/>
          <w:sz w:val="22"/>
          <w:lang w:val="en-US"/>
        </w:rPr>
      </w:pPr>
    </w:p>
    <w:p w14:paraId="53BB77B7" w14:textId="77777777" w:rsidR="007C0978" w:rsidRDefault="007C0978" w:rsidP="007C0978">
      <w:pPr>
        <w:rPr>
          <w:rFonts w:ascii="Times New Roman" w:hAnsi="Times New Roman" w:cs="Times New Roman"/>
          <w:sz w:val="22"/>
          <w:lang w:val="en-US"/>
        </w:rPr>
        <w:sectPr w:rsidR="007C0978" w:rsidSect="00065F46">
          <w:headerReference w:type="default" r:id="rId19"/>
          <w:pgSz w:w="11906" w:h="16838" w:code="9"/>
          <w:pgMar w:top="1440" w:right="849" w:bottom="1440" w:left="1701" w:header="709" w:footer="709" w:gutter="0"/>
          <w:cols w:space="708"/>
          <w:docGrid w:linePitch="360"/>
        </w:sectPr>
      </w:pPr>
    </w:p>
    <w:p w14:paraId="2CD501FB" w14:textId="77777777" w:rsidR="007C0978" w:rsidRPr="00F22DA3" w:rsidRDefault="001764EE" w:rsidP="005168A2">
      <w:pPr>
        <w:pStyle w:val="ListParagraph"/>
        <w:numPr>
          <w:ilvl w:val="0"/>
          <w:numId w:val="1"/>
        </w:numPr>
        <w:spacing w:before="240" w:after="120"/>
        <w:outlineLvl w:val="0"/>
        <w:rPr>
          <w:b/>
          <w:bCs/>
          <w:sz w:val="18"/>
          <w:szCs w:val="18"/>
          <w:lang w:val="en-US"/>
        </w:rPr>
      </w:pPr>
      <w:bookmarkStart w:id="14" w:name="_Toc57894886"/>
      <w:r w:rsidRPr="00F22DA3">
        <w:rPr>
          <w:b/>
          <w:bCs/>
          <w:sz w:val="18"/>
          <w:szCs w:val="18"/>
          <w:lang w:val="en-US"/>
        </w:rPr>
        <w:lastRenderedPageBreak/>
        <w:t>Principal activities of the Company</w:t>
      </w:r>
      <w:bookmarkEnd w:id="14"/>
    </w:p>
    <w:p w14:paraId="7DDD5076" w14:textId="1BC550DA" w:rsidR="001764EE" w:rsidRPr="00F22DA3" w:rsidRDefault="001764EE" w:rsidP="007D3517">
      <w:pPr>
        <w:spacing w:before="120" w:after="120"/>
        <w:jc w:val="both"/>
        <w:rPr>
          <w:sz w:val="18"/>
          <w:szCs w:val="18"/>
        </w:rPr>
      </w:pPr>
      <w:r w:rsidRPr="00F22DA3">
        <w:rPr>
          <w:sz w:val="18"/>
          <w:szCs w:val="18"/>
        </w:rPr>
        <w:t>“A-Group Insurance Company” Open Joint Stock Company (“the Company”) was set up in the Republic of Azerbaijan in 1995 as “</w:t>
      </w:r>
      <w:proofErr w:type="spellStart"/>
      <w:r w:rsidRPr="00F22DA3">
        <w:rPr>
          <w:sz w:val="18"/>
          <w:szCs w:val="18"/>
        </w:rPr>
        <w:t>Gruppa</w:t>
      </w:r>
      <w:proofErr w:type="spellEnd"/>
      <w:r w:rsidRPr="00F22DA3">
        <w:rPr>
          <w:sz w:val="18"/>
          <w:szCs w:val="18"/>
        </w:rPr>
        <w:t xml:space="preserve"> A” Limited Liability Insurance Company. In January 2009 the Company was re-registered as an open joint-stock company</w:t>
      </w:r>
      <w:bookmarkStart w:id="15" w:name="OLE_LINK2"/>
      <w:r w:rsidRPr="00F22DA3">
        <w:rPr>
          <w:sz w:val="18"/>
          <w:szCs w:val="18"/>
        </w:rPr>
        <w:t xml:space="preserve"> with identification number 9900027621. The Company in principally engaged in rendering non-life insurance and reinsurance services.</w:t>
      </w:r>
      <w:bookmarkEnd w:id="15"/>
      <w:r w:rsidRPr="00F22DA3">
        <w:rPr>
          <w:sz w:val="18"/>
          <w:szCs w:val="18"/>
        </w:rPr>
        <w:t xml:space="preserve"> The Company operates under the insurance license issued by </w:t>
      </w:r>
      <w:r w:rsidR="007D3517" w:rsidRPr="00F22DA3">
        <w:rPr>
          <w:sz w:val="18"/>
          <w:szCs w:val="18"/>
        </w:rPr>
        <w:t xml:space="preserve">Financial Market Supervisory authority </w:t>
      </w:r>
      <w:r w:rsidRPr="00F22DA3">
        <w:rPr>
          <w:sz w:val="18"/>
          <w:szCs w:val="18"/>
        </w:rPr>
        <w:t>of the Azerbaijan Republic. Insurance business covered by the Company includes, but is not limited to medical, cargo, property, casualty, third party liability, vehicle and reinsurance.</w:t>
      </w:r>
    </w:p>
    <w:p w14:paraId="2E64A9F1" w14:textId="5F03EA4E" w:rsidR="001764EE" w:rsidRPr="00F22DA3" w:rsidRDefault="001764EE" w:rsidP="007D3517">
      <w:pPr>
        <w:spacing w:before="120" w:after="120"/>
        <w:jc w:val="both"/>
        <w:rPr>
          <w:sz w:val="18"/>
          <w:szCs w:val="18"/>
        </w:rPr>
      </w:pPr>
      <w:r w:rsidRPr="00F22DA3">
        <w:rPr>
          <w:sz w:val="18"/>
          <w:szCs w:val="18"/>
        </w:rPr>
        <w:t xml:space="preserve">The Company's registered office is at 172, L. Tolstoy Street, Baku, Azerbaijan, and </w:t>
      </w:r>
      <w:proofErr w:type="gramStart"/>
      <w:r w:rsidRPr="00F22DA3">
        <w:rPr>
          <w:sz w:val="18"/>
          <w:szCs w:val="18"/>
        </w:rPr>
        <w:t>its</w:t>
      </w:r>
      <w:proofErr w:type="gramEnd"/>
      <w:r w:rsidRPr="00F22DA3">
        <w:rPr>
          <w:sz w:val="18"/>
          <w:szCs w:val="18"/>
        </w:rPr>
        <w:t xml:space="preserve"> headquarter is located at 87A </w:t>
      </w:r>
      <w:proofErr w:type="spellStart"/>
      <w:r w:rsidRPr="00F22DA3">
        <w:rPr>
          <w:sz w:val="18"/>
          <w:szCs w:val="18"/>
        </w:rPr>
        <w:t>Reshid</w:t>
      </w:r>
      <w:proofErr w:type="spellEnd"/>
      <w:r w:rsidRPr="00F22DA3">
        <w:rPr>
          <w:sz w:val="18"/>
          <w:szCs w:val="18"/>
        </w:rPr>
        <w:t xml:space="preserve"> Behbudov Street, Baku, </w:t>
      </w:r>
      <w:r w:rsidR="007D3517" w:rsidRPr="00F22DA3">
        <w:rPr>
          <w:sz w:val="18"/>
          <w:szCs w:val="18"/>
        </w:rPr>
        <w:t>t</w:t>
      </w:r>
      <w:r w:rsidRPr="00F22DA3">
        <w:rPr>
          <w:sz w:val="18"/>
          <w:szCs w:val="18"/>
        </w:rPr>
        <w:t xml:space="preserve">he Republic of Azerbaijan. The Company has one branch in </w:t>
      </w:r>
      <w:proofErr w:type="spellStart"/>
      <w:r w:rsidRPr="00F22DA3">
        <w:rPr>
          <w:sz w:val="18"/>
          <w:szCs w:val="18"/>
        </w:rPr>
        <w:t>Gandja</w:t>
      </w:r>
      <w:proofErr w:type="spellEnd"/>
      <w:r w:rsidRPr="00F22DA3">
        <w:rPr>
          <w:sz w:val="18"/>
          <w:szCs w:val="18"/>
        </w:rPr>
        <w:t xml:space="preserve"> city.</w:t>
      </w:r>
    </w:p>
    <w:p w14:paraId="66D84BC1" w14:textId="77777777" w:rsidR="001764EE" w:rsidRPr="00F22DA3" w:rsidRDefault="001764EE" w:rsidP="007D3517">
      <w:pPr>
        <w:spacing w:before="120" w:after="120"/>
        <w:jc w:val="both"/>
        <w:rPr>
          <w:sz w:val="18"/>
          <w:szCs w:val="18"/>
        </w:rPr>
      </w:pPr>
      <w:r w:rsidRPr="00F22DA3">
        <w:rPr>
          <w:sz w:val="18"/>
          <w:szCs w:val="18"/>
        </w:rPr>
        <w:t xml:space="preserve">The sole owner and the ultimate controlling party of the Company is Mr. Sabir </w:t>
      </w:r>
      <w:proofErr w:type="spellStart"/>
      <w:r w:rsidRPr="00F22DA3">
        <w:rPr>
          <w:sz w:val="18"/>
          <w:szCs w:val="18"/>
        </w:rPr>
        <w:t>Adnayev</w:t>
      </w:r>
      <w:proofErr w:type="spellEnd"/>
      <w:r w:rsidRPr="00F22DA3">
        <w:rPr>
          <w:sz w:val="18"/>
          <w:szCs w:val="18"/>
        </w:rPr>
        <w:t xml:space="preserve">, an Azerbaijani national. </w:t>
      </w:r>
    </w:p>
    <w:p w14:paraId="12DF16B7" w14:textId="64562BF8" w:rsidR="001764EE" w:rsidRDefault="001764EE" w:rsidP="007D3517">
      <w:pPr>
        <w:spacing w:before="120" w:after="120"/>
        <w:jc w:val="both"/>
        <w:rPr>
          <w:sz w:val="18"/>
          <w:szCs w:val="18"/>
        </w:rPr>
      </w:pPr>
      <w:r w:rsidRPr="00F22DA3">
        <w:rPr>
          <w:sz w:val="18"/>
          <w:szCs w:val="18"/>
        </w:rPr>
        <w:t>The average number of the Company’s employees in 201</w:t>
      </w:r>
      <w:r w:rsidR="007D3517" w:rsidRPr="00F22DA3">
        <w:rPr>
          <w:sz w:val="18"/>
          <w:szCs w:val="18"/>
        </w:rPr>
        <w:t>9</w:t>
      </w:r>
      <w:r w:rsidRPr="00F22DA3">
        <w:rPr>
          <w:sz w:val="18"/>
          <w:szCs w:val="18"/>
        </w:rPr>
        <w:t xml:space="preserve"> was </w:t>
      </w:r>
      <w:r w:rsidR="007D3517" w:rsidRPr="00F22DA3">
        <w:rPr>
          <w:sz w:val="18"/>
          <w:szCs w:val="18"/>
        </w:rPr>
        <w:t>XX</w:t>
      </w:r>
      <w:r w:rsidRPr="00F22DA3">
        <w:rPr>
          <w:sz w:val="18"/>
          <w:szCs w:val="18"/>
        </w:rPr>
        <w:t xml:space="preserve"> (201</w:t>
      </w:r>
      <w:r w:rsidR="007D3517" w:rsidRPr="00F22DA3">
        <w:rPr>
          <w:sz w:val="18"/>
          <w:szCs w:val="18"/>
        </w:rPr>
        <w:t>8</w:t>
      </w:r>
      <w:r w:rsidRPr="00F22DA3">
        <w:rPr>
          <w:sz w:val="18"/>
          <w:szCs w:val="18"/>
        </w:rPr>
        <w:t>: 56</w:t>
      </w:r>
      <w:r w:rsidR="007D3517" w:rsidRPr="00F22DA3">
        <w:rPr>
          <w:sz w:val="18"/>
          <w:szCs w:val="18"/>
        </w:rPr>
        <w:t xml:space="preserve"> employees</w:t>
      </w:r>
      <w:r w:rsidRPr="00F22DA3">
        <w:rPr>
          <w:sz w:val="18"/>
          <w:szCs w:val="18"/>
        </w:rPr>
        <w:t>).</w:t>
      </w:r>
    </w:p>
    <w:p w14:paraId="58E1BD62" w14:textId="77777777" w:rsidR="005168A2" w:rsidRPr="00F22DA3" w:rsidRDefault="005168A2" w:rsidP="007D3517">
      <w:pPr>
        <w:spacing w:before="120" w:after="120"/>
        <w:jc w:val="both"/>
        <w:rPr>
          <w:sz w:val="18"/>
          <w:szCs w:val="18"/>
        </w:rPr>
      </w:pPr>
    </w:p>
    <w:p w14:paraId="08C62FC7" w14:textId="5F894CBB" w:rsidR="007D3517" w:rsidRPr="00F22DA3" w:rsidRDefault="007D3517" w:rsidP="005168A2">
      <w:pPr>
        <w:pStyle w:val="ListParagraph"/>
        <w:numPr>
          <w:ilvl w:val="0"/>
          <w:numId w:val="1"/>
        </w:numPr>
        <w:spacing w:before="240" w:after="120"/>
        <w:ind w:left="357" w:hanging="357"/>
        <w:contextualSpacing w:val="0"/>
        <w:outlineLvl w:val="0"/>
        <w:rPr>
          <w:b/>
          <w:bCs/>
          <w:sz w:val="18"/>
          <w:szCs w:val="18"/>
          <w:lang w:val="en-US"/>
        </w:rPr>
      </w:pPr>
      <w:bookmarkStart w:id="16" w:name="_Toc57894887"/>
      <w:r w:rsidRPr="00F22DA3">
        <w:rPr>
          <w:b/>
          <w:bCs/>
          <w:sz w:val="18"/>
          <w:szCs w:val="18"/>
          <w:lang w:val="en-US"/>
        </w:rPr>
        <w:t>Operating environment of the Company</w:t>
      </w:r>
      <w:bookmarkEnd w:id="16"/>
    </w:p>
    <w:p w14:paraId="31517AA6" w14:textId="4BF84108" w:rsidR="007D3517" w:rsidRPr="00F22DA3" w:rsidRDefault="007D3517" w:rsidP="001D08D3">
      <w:pPr>
        <w:spacing w:before="120" w:after="120"/>
        <w:jc w:val="both"/>
        <w:rPr>
          <w:b/>
          <w:bCs/>
          <w:i/>
          <w:iCs/>
          <w:sz w:val="18"/>
          <w:szCs w:val="18"/>
          <w:lang w:val="en-US"/>
        </w:rPr>
      </w:pPr>
      <w:r w:rsidRPr="00F22DA3">
        <w:rPr>
          <w:b/>
          <w:bCs/>
          <w:i/>
          <w:iCs/>
          <w:sz w:val="18"/>
          <w:szCs w:val="18"/>
          <w:lang w:val="en-US"/>
        </w:rPr>
        <w:t>General</w:t>
      </w:r>
    </w:p>
    <w:p w14:paraId="6E308A62" w14:textId="77777777" w:rsidR="007D3517" w:rsidRPr="00F22DA3" w:rsidRDefault="007D3517" w:rsidP="001D08D3">
      <w:pPr>
        <w:spacing w:before="120"/>
        <w:jc w:val="both"/>
        <w:rPr>
          <w:sz w:val="18"/>
          <w:szCs w:val="18"/>
        </w:rPr>
      </w:pPr>
      <w:r w:rsidRPr="00F22DA3">
        <w:rPr>
          <w:sz w:val="18"/>
          <w:szCs w:val="18"/>
        </w:rPr>
        <w:t xml:space="preserve">Over recent years, Azerbaijan has undergone substantial political and economic changes. As an emerging market, Azerbaijan does not possess a well-developed commercial infrastructure, which generally exists in more mature business markets. Laws and regulations affecting businesses operating within the country are subject to rapid change. In addition, continued economic stability is dependent to a large extent on the effectiveness of fiscal and monetary measures taken by the government, regulatory developments, decisions of international lending organisations, and other actions beyond the Company’s control. </w:t>
      </w:r>
    </w:p>
    <w:p w14:paraId="5739B9C0" w14:textId="79C96DA5" w:rsidR="007D3517" w:rsidRPr="00F22DA3" w:rsidRDefault="007D3517" w:rsidP="001D08D3">
      <w:pPr>
        <w:spacing w:before="120"/>
        <w:jc w:val="both"/>
        <w:rPr>
          <w:sz w:val="18"/>
          <w:szCs w:val="18"/>
        </w:rPr>
      </w:pPr>
      <w:r w:rsidRPr="00F22DA3">
        <w:rPr>
          <w:sz w:val="18"/>
          <w:szCs w:val="18"/>
        </w:rPr>
        <w:t>Although recently there have been positive economic signs in Azerbaijan, the long-term prospects for the Azerbaijani economy remain uncertain. National economy is dependent of export of hydrocarbon resources. As a result, the Company’s assets and operations could be at risk resulting from any adverse changes in the political and business environment.</w:t>
      </w:r>
    </w:p>
    <w:p w14:paraId="3F803C5E" w14:textId="47B3AF09" w:rsidR="001D08D3" w:rsidRPr="00142917" w:rsidRDefault="001D08D3" w:rsidP="00142917">
      <w:pPr>
        <w:autoSpaceDE w:val="0"/>
        <w:autoSpaceDN w:val="0"/>
        <w:adjustRightInd w:val="0"/>
        <w:spacing w:before="240"/>
        <w:rPr>
          <w:rFonts w:cs="Courier New"/>
          <w:b/>
          <w:bCs/>
          <w:i/>
          <w:sz w:val="18"/>
          <w:szCs w:val="18"/>
        </w:rPr>
      </w:pPr>
      <w:r w:rsidRPr="00142917">
        <w:rPr>
          <w:rFonts w:cs="Courier New"/>
          <w:b/>
          <w:bCs/>
          <w:i/>
          <w:sz w:val="18"/>
          <w:szCs w:val="18"/>
        </w:rPr>
        <w:t xml:space="preserve">Inflation </w:t>
      </w:r>
    </w:p>
    <w:p w14:paraId="534ED192" w14:textId="2D305213" w:rsidR="001D08D3" w:rsidRPr="00F22DA3" w:rsidRDefault="001D08D3" w:rsidP="001D08D3">
      <w:pPr>
        <w:spacing w:before="120"/>
        <w:jc w:val="both"/>
        <w:rPr>
          <w:sz w:val="18"/>
          <w:szCs w:val="18"/>
        </w:rPr>
      </w:pPr>
      <w:r w:rsidRPr="00F22DA3">
        <w:rPr>
          <w:sz w:val="18"/>
          <w:szCs w:val="18"/>
        </w:rPr>
        <w:t xml:space="preserve">In 2019 inflation in Azerbaijan slightly increased. The official inflation indices for the last </w:t>
      </w:r>
      <w:r w:rsidRPr="00F22DA3">
        <w:rPr>
          <w:sz w:val="18"/>
          <w:szCs w:val="18"/>
          <w:lang w:val="en-US"/>
        </w:rPr>
        <w:t>two</w:t>
      </w:r>
      <w:r w:rsidRPr="00F22DA3">
        <w:rPr>
          <w:sz w:val="18"/>
          <w:szCs w:val="18"/>
        </w:rPr>
        <w:t xml:space="preserve"> years are given in the table below:</w:t>
      </w:r>
    </w:p>
    <w:tbl>
      <w:tblPr>
        <w:tblW w:w="8733" w:type="dxa"/>
        <w:jc w:val="center"/>
        <w:tblLayout w:type="fixed"/>
        <w:tblLook w:val="0000" w:firstRow="0" w:lastRow="0" w:firstColumn="0" w:lastColumn="0" w:noHBand="0" w:noVBand="0"/>
      </w:tblPr>
      <w:tblGrid>
        <w:gridCol w:w="6805"/>
        <w:gridCol w:w="1928"/>
      </w:tblGrid>
      <w:tr w:rsidR="001D08D3" w:rsidRPr="00F22DA3" w14:paraId="79FAD4C4" w14:textId="77777777" w:rsidTr="00F57670">
        <w:trPr>
          <w:jc w:val="center"/>
        </w:trPr>
        <w:tc>
          <w:tcPr>
            <w:tcW w:w="3896" w:type="pct"/>
            <w:tcBorders>
              <w:bottom w:val="single" w:sz="4" w:space="0" w:color="auto"/>
            </w:tcBorders>
            <w:tcMar>
              <w:left w:w="17" w:type="dxa"/>
              <w:right w:w="17" w:type="dxa"/>
            </w:tcMar>
            <w:vAlign w:val="bottom"/>
          </w:tcPr>
          <w:p w14:paraId="16BE197D" w14:textId="77777777" w:rsidR="001D08D3" w:rsidRPr="00F22DA3" w:rsidRDefault="001D08D3" w:rsidP="003E3477">
            <w:pPr>
              <w:rPr>
                <w:b/>
                <w:sz w:val="18"/>
                <w:szCs w:val="18"/>
              </w:rPr>
            </w:pPr>
            <w:r w:rsidRPr="00F22DA3">
              <w:rPr>
                <w:b/>
                <w:sz w:val="18"/>
                <w:szCs w:val="18"/>
              </w:rPr>
              <w:br w:type="page"/>
              <w:t>Year ended</w:t>
            </w:r>
          </w:p>
        </w:tc>
        <w:tc>
          <w:tcPr>
            <w:tcW w:w="1104" w:type="pct"/>
            <w:tcBorders>
              <w:bottom w:val="single" w:sz="4" w:space="0" w:color="auto"/>
            </w:tcBorders>
            <w:tcMar>
              <w:left w:w="17" w:type="dxa"/>
              <w:right w:w="17" w:type="dxa"/>
            </w:tcMar>
            <w:vAlign w:val="bottom"/>
          </w:tcPr>
          <w:p w14:paraId="15E47F78" w14:textId="77777777" w:rsidR="001D08D3" w:rsidRPr="00F22DA3" w:rsidRDefault="001D08D3" w:rsidP="003E3477">
            <w:pPr>
              <w:jc w:val="right"/>
              <w:rPr>
                <w:b/>
                <w:sz w:val="18"/>
                <w:szCs w:val="18"/>
              </w:rPr>
            </w:pPr>
            <w:r w:rsidRPr="00F22DA3">
              <w:rPr>
                <w:b/>
                <w:sz w:val="18"/>
                <w:szCs w:val="18"/>
              </w:rPr>
              <w:t>Inflation for the period</w:t>
            </w:r>
          </w:p>
        </w:tc>
      </w:tr>
      <w:tr w:rsidR="001D08D3" w:rsidRPr="00F22DA3" w14:paraId="1FC86CFF" w14:textId="77777777" w:rsidTr="00F57670">
        <w:trPr>
          <w:jc w:val="center"/>
        </w:trPr>
        <w:tc>
          <w:tcPr>
            <w:tcW w:w="3896" w:type="pct"/>
            <w:tcBorders>
              <w:top w:val="single" w:sz="4" w:space="0" w:color="auto"/>
            </w:tcBorders>
            <w:tcMar>
              <w:left w:w="17" w:type="dxa"/>
              <w:right w:w="17" w:type="dxa"/>
            </w:tcMar>
            <w:vAlign w:val="bottom"/>
          </w:tcPr>
          <w:p w14:paraId="26C1498F" w14:textId="77777777" w:rsidR="001D08D3" w:rsidRPr="00F22DA3" w:rsidRDefault="001D08D3" w:rsidP="003E3477">
            <w:pPr>
              <w:rPr>
                <w:sz w:val="18"/>
                <w:szCs w:val="18"/>
              </w:rPr>
            </w:pPr>
          </w:p>
        </w:tc>
        <w:tc>
          <w:tcPr>
            <w:tcW w:w="1104" w:type="pct"/>
            <w:tcBorders>
              <w:top w:val="single" w:sz="4" w:space="0" w:color="auto"/>
            </w:tcBorders>
            <w:tcMar>
              <w:left w:w="17" w:type="dxa"/>
              <w:right w:w="17" w:type="dxa"/>
            </w:tcMar>
            <w:vAlign w:val="bottom"/>
          </w:tcPr>
          <w:p w14:paraId="602FAB38" w14:textId="77777777" w:rsidR="001D08D3" w:rsidRPr="00F22DA3" w:rsidRDefault="001D08D3" w:rsidP="003E3477">
            <w:pPr>
              <w:jc w:val="right"/>
              <w:rPr>
                <w:sz w:val="18"/>
                <w:szCs w:val="18"/>
              </w:rPr>
            </w:pPr>
          </w:p>
        </w:tc>
      </w:tr>
      <w:tr w:rsidR="001D08D3" w:rsidRPr="00F22DA3" w14:paraId="619FB26D" w14:textId="77777777" w:rsidTr="00F57670">
        <w:trPr>
          <w:jc w:val="center"/>
        </w:trPr>
        <w:tc>
          <w:tcPr>
            <w:tcW w:w="3896" w:type="pct"/>
            <w:shd w:val="clear" w:color="auto" w:fill="auto"/>
            <w:tcMar>
              <w:left w:w="17" w:type="dxa"/>
              <w:right w:w="17" w:type="dxa"/>
            </w:tcMar>
            <w:vAlign w:val="bottom"/>
          </w:tcPr>
          <w:p w14:paraId="4C57CDED" w14:textId="410CC46D" w:rsidR="001D08D3" w:rsidRPr="00F22DA3" w:rsidRDefault="001D08D3" w:rsidP="003E3477">
            <w:pPr>
              <w:rPr>
                <w:sz w:val="18"/>
                <w:szCs w:val="18"/>
              </w:rPr>
            </w:pPr>
            <w:r w:rsidRPr="00F22DA3">
              <w:rPr>
                <w:sz w:val="18"/>
                <w:szCs w:val="18"/>
              </w:rPr>
              <w:t>31 December 2019</w:t>
            </w:r>
          </w:p>
        </w:tc>
        <w:tc>
          <w:tcPr>
            <w:tcW w:w="1104" w:type="pct"/>
            <w:shd w:val="clear" w:color="auto" w:fill="auto"/>
            <w:tcMar>
              <w:left w:w="17" w:type="dxa"/>
              <w:right w:w="17" w:type="dxa"/>
            </w:tcMar>
            <w:vAlign w:val="bottom"/>
          </w:tcPr>
          <w:p w14:paraId="5F83E2C6" w14:textId="6DD1D160" w:rsidR="001D08D3" w:rsidRPr="00F22DA3" w:rsidRDefault="001D08D3" w:rsidP="003E3477">
            <w:pPr>
              <w:jc w:val="right"/>
              <w:rPr>
                <w:sz w:val="18"/>
                <w:szCs w:val="18"/>
              </w:rPr>
            </w:pPr>
            <w:r w:rsidRPr="00F22DA3">
              <w:rPr>
                <w:sz w:val="18"/>
                <w:szCs w:val="18"/>
              </w:rPr>
              <w:t>2.6</w:t>
            </w:r>
            <w:r w:rsidR="00F57670">
              <w:rPr>
                <w:sz w:val="18"/>
                <w:szCs w:val="18"/>
                <w:lang w:val="ru-RU"/>
              </w:rPr>
              <w:t>0</w:t>
            </w:r>
            <w:r w:rsidRPr="00F22DA3">
              <w:rPr>
                <w:sz w:val="18"/>
                <w:szCs w:val="18"/>
              </w:rPr>
              <w:t>%</w:t>
            </w:r>
          </w:p>
        </w:tc>
      </w:tr>
      <w:tr w:rsidR="001D08D3" w:rsidRPr="00F22DA3" w14:paraId="13B644F1" w14:textId="77777777" w:rsidTr="00F57670">
        <w:trPr>
          <w:jc w:val="center"/>
        </w:trPr>
        <w:tc>
          <w:tcPr>
            <w:tcW w:w="3896" w:type="pct"/>
            <w:tcBorders>
              <w:bottom w:val="single" w:sz="4" w:space="0" w:color="auto"/>
            </w:tcBorders>
            <w:tcMar>
              <w:left w:w="17" w:type="dxa"/>
              <w:right w:w="17" w:type="dxa"/>
            </w:tcMar>
            <w:vAlign w:val="bottom"/>
          </w:tcPr>
          <w:p w14:paraId="468CDA09" w14:textId="03212BBF" w:rsidR="001D08D3" w:rsidRPr="00F22DA3" w:rsidRDefault="001D08D3" w:rsidP="003E3477">
            <w:pPr>
              <w:tabs>
                <w:tab w:val="left" w:pos="6665"/>
              </w:tabs>
              <w:rPr>
                <w:sz w:val="18"/>
                <w:szCs w:val="18"/>
              </w:rPr>
            </w:pPr>
            <w:r w:rsidRPr="00F22DA3">
              <w:rPr>
                <w:sz w:val="18"/>
                <w:szCs w:val="18"/>
              </w:rPr>
              <w:t>31 December 2018</w:t>
            </w:r>
          </w:p>
        </w:tc>
        <w:tc>
          <w:tcPr>
            <w:tcW w:w="1104" w:type="pct"/>
            <w:tcBorders>
              <w:bottom w:val="single" w:sz="4" w:space="0" w:color="auto"/>
            </w:tcBorders>
            <w:tcMar>
              <w:left w:w="17" w:type="dxa"/>
              <w:right w:w="17" w:type="dxa"/>
            </w:tcMar>
            <w:vAlign w:val="bottom"/>
          </w:tcPr>
          <w:p w14:paraId="24956E54" w14:textId="75D2F562" w:rsidR="001D08D3" w:rsidRPr="00F22DA3" w:rsidRDefault="001D08D3" w:rsidP="003E3477">
            <w:pPr>
              <w:jc w:val="right"/>
              <w:rPr>
                <w:sz w:val="18"/>
                <w:szCs w:val="18"/>
              </w:rPr>
            </w:pPr>
            <w:r w:rsidRPr="00F22DA3">
              <w:rPr>
                <w:sz w:val="18"/>
                <w:szCs w:val="18"/>
              </w:rPr>
              <w:t>2.33%</w:t>
            </w:r>
          </w:p>
        </w:tc>
      </w:tr>
    </w:tbl>
    <w:p w14:paraId="5C97E72B" w14:textId="77777777" w:rsidR="007D3517" w:rsidRPr="00142917" w:rsidRDefault="007D3517" w:rsidP="00142917">
      <w:pPr>
        <w:autoSpaceDE w:val="0"/>
        <w:autoSpaceDN w:val="0"/>
        <w:adjustRightInd w:val="0"/>
        <w:spacing w:before="240"/>
        <w:rPr>
          <w:rFonts w:cs="Courier New"/>
          <w:b/>
          <w:bCs/>
          <w:i/>
          <w:sz w:val="18"/>
          <w:szCs w:val="18"/>
        </w:rPr>
      </w:pPr>
      <w:r w:rsidRPr="00142917">
        <w:rPr>
          <w:rFonts w:cs="Courier New"/>
          <w:b/>
          <w:bCs/>
          <w:i/>
          <w:sz w:val="18"/>
          <w:szCs w:val="18"/>
        </w:rPr>
        <w:t>Financial market transactions</w:t>
      </w:r>
    </w:p>
    <w:p w14:paraId="5DDD7C45" w14:textId="3E741EC4" w:rsidR="001556F2" w:rsidRPr="00F22DA3" w:rsidRDefault="00654F03" w:rsidP="001D08D3">
      <w:pPr>
        <w:spacing w:before="120"/>
        <w:jc w:val="both"/>
        <w:rPr>
          <w:sz w:val="18"/>
          <w:szCs w:val="18"/>
        </w:rPr>
      </w:pPr>
      <w:r w:rsidRPr="00F22DA3">
        <w:rPr>
          <w:sz w:val="18"/>
          <w:szCs w:val="18"/>
        </w:rPr>
        <w:t>In preparing the financial statements of the Company, transaction in currencies other than the entity’s functional currency (foreign currencies) are recognised at rates of exchange prevailing at dates of transactions. At the end of each reporting period, monetary items denominated in foreign currencies are retranslated at the rates prevailing at that date.</w:t>
      </w:r>
    </w:p>
    <w:p w14:paraId="1DE8D53F" w14:textId="0BD3403D" w:rsidR="00654F03" w:rsidRPr="00F22DA3" w:rsidRDefault="00654F03" w:rsidP="00654F03">
      <w:pPr>
        <w:pStyle w:val="3"/>
        <w:spacing w:before="120"/>
        <w:outlineLvl w:val="9"/>
        <w:rPr>
          <w:rFonts w:ascii="Trebuchet MS" w:eastAsiaTheme="minorHAnsi" w:hAnsi="Trebuchet MS" w:cstheme="minorBidi"/>
          <w:i w:val="0"/>
          <w:sz w:val="18"/>
          <w:szCs w:val="18"/>
        </w:rPr>
      </w:pPr>
      <w:bookmarkStart w:id="17" w:name="_Toc52267651"/>
      <w:r w:rsidRPr="00F22DA3">
        <w:rPr>
          <w:rFonts w:ascii="Trebuchet MS" w:eastAsiaTheme="minorHAnsi" w:hAnsi="Trebuchet MS" w:cstheme="minorBidi"/>
          <w:i w:val="0"/>
          <w:sz w:val="18"/>
          <w:szCs w:val="18"/>
        </w:rPr>
        <w:t xml:space="preserve">Non-monetary assets and liabilities denominated in a foreign currency </w:t>
      </w:r>
      <w:r w:rsidR="000038DD" w:rsidRPr="00F22DA3">
        <w:rPr>
          <w:rFonts w:ascii="Trebuchet MS" w:eastAsiaTheme="minorHAnsi" w:hAnsi="Trebuchet MS" w:cstheme="minorBidi"/>
          <w:i w:val="0"/>
          <w:sz w:val="18"/>
          <w:szCs w:val="18"/>
        </w:rPr>
        <w:t xml:space="preserve">that are measured at fair value </w:t>
      </w:r>
      <w:r w:rsidRPr="00F22DA3">
        <w:rPr>
          <w:rFonts w:ascii="Trebuchet MS" w:eastAsiaTheme="minorHAnsi" w:hAnsi="Trebuchet MS" w:cstheme="minorBidi"/>
          <w:i w:val="0"/>
          <w:sz w:val="18"/>
          <w:szCs w:val="18"/>
        </w:rPr>
        <w:t xml:space="preserve">are translated </w:t>
      </w:r>
      <w:r w:rsidR="000038DD" w:rsidRPr="00F22DA3">
        <w:rPr>
          <w:rFonts w:ascii="Trebuchet MS" w:eastAsiaTheme="minorHAnsi" w:hAnsi="Trebuchet MS" w:cstheme="minorBidi"/>
          <w:i w:val="0"/>
          <w:sz w:val="18"/>
          <w:szCs w:val="18"/>
        </w:rPr>
        <w:t>to the functional currency at</w:t>
      </w:r>
      <w:r w:rsidRPr="00F22DA3">
        <w:rPr>
          <w:rFonts w:ascii="Trebuchet MS" w:eastAsiaTheme="minorHAnsi" w:hAnsi="Trebuchet MS" w:cstheme="minorBidi"/>
          <w:i w:val="0"/>
          <w:sz w:val="18"/>
          <w:szCs w:val="18"/>
        </w:rPr>
        <w:t xml:space="preserve"> the</w:t>
      </w:r>
      <w:r w:rsidR="000038DD" w:rsidRPr="00F22DA3">
        <w:rPr>
          <w:rFonts w:ascii="Trebuchet MS" w:eastAsiaTheme="minorHAnsi" w:hAnsi="Trebuchet MS" w:cstheme="minorBidi"/>
          <w:i w:val="0"/>
          <w:sz w:val="18"/>
          <w:szCs w:val="18"/>
        </w:rPr>
        <w:t xml:space="preserve"> exchange</w:t>
      </w:r>
      <w:r w:rsidRPr="00F22DA3">
        <w:rPr>
          <w:rFonts w:ascii="Trebuchet MS" w:eastAsiaTheme="minorHAnsi" w:hAnsi="Trebuchet MS" w:cstheme="minorBidi"/>
          <w:i w:val="0"/>
          <w:sz w:val="18"/>
          <w:szCs w:val="18"/>
        </w:rPr>
        <w:t xml:space="preserve"> rates</w:t>
      </w:r>
      <w:r w:rsidR="000038DD" w:rsidRPr="00F22DA3">
        <w:rPr>
          <w:rFonts w:ascii="Trebuchet MS" w:eastAsiaTheme="minorHAnsi" w:hAnsi="Trebuchet MS" w:cstheme="minorBidi"/>
          <w:i w:val="0"/>
          <w:sz w:val="18"/>
          <w:szCs w:val="18"/>
        </w:rPr>
        <w:t xml:space="preserve"> at the date</w:t>
      </w:r>
      <w:r w:rsidRPr="00F22DA3">
        <w:rPr>
          <w:rFonts w:ascii="Trebuchet MS" w:eastAsiaTheme="minorHAnsi" w:hAnsi="Trebuchet MS" w:cstheme="minorBidi"/>
          <w:i w:val="0"/>
          <w:sz w:val="18"/>
          <w:szCs w:val="18"/>
        </w:rPr>
        <w:t xml:space="preserve"> that </w:t>
      </w:r>
      <w:r w:rsidR="000038DD" w:rsidRPr="00F22DA3">
        <w:rPr>
          <w:rFonts w:ascii="Trebuchet MS" w:eastAsiaTheme="minorHAnsi" w:hAnsi="Trebuchet MS" w:cstheme="minorBidi"/>
          <w:i w:val="0"/>
          <w:sz w:val="18"/>
          <w:szCs w:val="18"/>
        </w:rPr>
        <w:t>the fair value was determined</w:t>
      </w:r>
      <w:r w:rsidRPr="00F22DA3">
        <w:rPr>
          <w:rFonts w:ascii="Trebuchet MS" w:eastAsiaTheme="minorHAnsi" w:hAnsi="Trebuchet MS" w:cstheme="minorBidi"/>
          <w:i w:val="0"/>
          <w:sz w:val="18"/>
          <w:szCs w:val="18"/>
        </w:rPr>
        <w:t xml:space="preserve">. Non-monetary items in a foreign currency </w:t>
      </w:r>
      <w:r w:rsidR="000038DD" w:rsidRPr="00F22DA3">
        <w:rPr>
          <w:rFonts w:ascii="Trebuchet MS" w:eastAsiaTheme="minorHAnsi" w:hAnsi="Trebuchet MS" w:cstheme="minorBidi"/>
          <w:i w:val="0"/>
          <w:sz w:val="18"/>
          <w:szCs w:val="18"/>
        </w:rPr>
        <w:t xml:space="preserve">that </w:t>
      </w:r>
      <w:r w:rsidRPr="00F22DA3">
        <w:rPr>
          <w:rFonts w:ascii="Trebuchet MS" w:eastAsiaTheme="minorHAnsi" w:hAnsi="Trebuchet MS" w:cstheme="minorBidi"/>
          <w:i w:val="0"/>
          <w:sz w:val="18"/>
          <w:szCs w:val="18"/>
        </w:rPr>
        <w:t>are</w:t>
      </w:r>
      <w:r w:rsidR="000038DD" w:rsidRPr="00F22DA3">
        <w:rPr>
          <w:rFonts w:ascii="Trebuchet MS" w:eastAsiaTheme="minorHAnsi" w:hAnsi="Trebuchet MS" w:cstheme="minorBidi"/>
          <w:i w:val="0"/>
          <w:sz w:val="18"/>
          <w:szCs w:val="18"/>
        </w:rPr>
        <w:t xml:space="preserve"> measured based on historical cost are translated using the exchange rate at the date of the transaction</w:t>
      </w:r>
      <w:r w:rsidRPr="00F22DA3">
        <w:rPr>
          <w:rFonts w:ascii="Trebuchet MS" w:eastAsiaTheme="minorHAnsi" w:hAnsi="Trebuchet MS" w:cstheme="minorBidi"/>
          <w:i w:val="0"/>
          <w:sz w:val="18"/>
          <w:szCs w:val="18"/>
        </w:rPr>
        <w:t>.</w:t>
      </w:r>
      <w:bookmarkEnd w:id="17"/>
      <w:r w:rsidRPr="00F22DA3">
        <w:rPr>
          <w:rFonts w:ascii="Trebuchet MS" w:eastAsiaTheme="minorHAnsi" w:hAnsi="Trebuchet MS" w:cstheme="minorBidi"/>
          <w:i w:val="0"/>
          <w:sz w:val="18"/>
          <w:szCs w:val="18"/>
        </w:rPr>
        <w:t xml:space="preserve"> </w:t>
      </w:r>
    </w:p>
    <w:p w14:paraId="4254189C" w14:textId="708AF458" w:rsidR="000038DD" w:rsidRPr="00F22DA3" w:rsidRDefault="000038DD" w:rsidP="003E3477">
      <w:pPr>
        <w:pStyle w:val="3"/>
        <w:tabs>
          <w:tab w:val="left" w:pos="3732"/>
        </w:tabs>
        <w:spacing w:before="120"/>
        <w:outlineLvl w:val="9"/>
        <w:rPr>
          <w:rFonts w:ascii="Trebuchet MS" w:eastAsiaTheme="minorHAnsi" w:hAnsi="Trebuchet MS" w:cstheme="minorBidi"/>
          <w:i w:val="0"/>
          <w:sz w:val="18"/>
          <w:szCs w:val="18"/>
        </w:rPr>
      </w:pPr>
      <w:bookmarkStart w:id="18" w:name="_Toc52267652"/>
      <w:r w:rsidRPr="00F22DA3">
        <w:rPr>
          <w:rFonts w:ascii="Trebuchet MS" w:eastAsiaTheme="minorHAnsi" w:hAnsi="Trebuchet MS" w:cstheme="minorBidi"/>
          <w:i w:val="0"/>
          <w:sz w:val="18"/>
          <w:szCs w:val="18"/>
        </w:rPr>
        <w:t>Foreign currency differences arising</w:t>
      </w:r>
      <w:r w:rsidR="003E3477" w:rsidRPr="00F22DA3">
        <w:rPr>
          <w:rFonts w:ascii="Trebuchet MS" w:eastAsiaTheme="minorHAnsi" w:hAnsi="Trebuchet MS" w:cstheme="minorBidi"/>
          <w:i w:val="0"/>
          <w:sz w:val="18"/>
          <w:szCs w:val="18"/>
        </w:rPr>
        <w:t xml:space="preserve"> in transaction are recognised in profit or loss.</w:t>
      </w:r>
      <w:bookmarkEnd w:id="18"/>
    </w:p>
    <w:p w14:paraId="6D4A9836" w14:textId="785AC8EE" w:rsidR="003E3477" w:rsidRPr="00F22DA3" w:rsidRDefault="003E3477" w:rsidP="00F57670">
      <w:pPr>
        <w:spacing w:before="120" w:after="120"/>
        <w:jc w:val="both"/>
        <w:rPr>
          <w:sz w:val="18"/>
          <w:szCs w:val="18"/>
        </w:rPr>
      </w:pPr>
      <w:r w:rsidRPr="00F22DA3">
        <w:rPr>
          <w:sz w:val="18"/>
          <w:szCs w:val="18"/>
        </w:rPr>
        <w:t xml:space="preserve">As at 31 December 2019 and 31 December 2018 the closing rates of exchange, being official rates of the Central Bank of the Republic of Azerbaijan, used for translating foreign currency balances to Azerbaijani </w:t>
      </w:r>
      <w:proofErr w:type="spellStart"/>
      <w:r w:rsidRPr="00F22DA3">
        <w:rPr>
          <w:sz w:val="18"/>
          <w:szCs w:val="18"/>
        </w:rPr>
        <w:t>Manats</w:t>
      </w:r>
      <w:proofErr w:type="spellEnd"/>
      <w:r w:rsidRPr="00F22DA3">
        <w:rPr>
          <w:sz w:val="18"/>
          <w:szCs w:val="18"/>
        </w:rPr>
        <w:t xml:space="preserve"> were:</w:t>
      </w:r>
    </w:p>
    <w:tbl>
      <w:tblPr>
        <w:tblW w:w="8933" w:type="dxa"/>
        <w:jc w:val="center"/>
        <w:tblLayout w:type="fixed"/>
        <w:tblLook w:val="0000" w:firstRow="0" w:lastRow="0" w:firstColumn="0" w:lastColumn="0" w:noHBand="0" w:noVBand="0"/>
      </w:tblPr>
      <w:tblGrid>
        <w:gridCol w:w="5529"/>
        <w:gridCol w:w="1702"/>
        <w:gridCol w:w="1702"/>
      </w:tblGrid>
      <w:tr w:rsidR="00654F03" w:rsidRPr="00F22DA3" w14:paraId="59EDFD86" w14:textId="77777777" w:rsidTr="00F57670">
        <w:trPr>
          <w:trHeight w:val="227"/>
          <w:jc w:val="center"/>
        </w:trPr>
        <w:tc>
          <w:tcPr>
            <w:tcW w:w="5529" w:type="dxa"/>
            <w:tcBorders>
              <w:top w:val="nil"/>
              <w:left w:val="nil"/>
              <w:bottom w:val="single" w:sz="4" w:space="0" w:color="auto"/>
              <w:right w:val="nil"/>
            </w:tcBorders>
            <w:vAlign w:val="bottom"/>
          </w:tcPr>
          <w:p w14:paraId="722EB2D9" w14:textId="77777777" w:rsidR="00654F03" w:rsidRPr="00F22DA3" w:rsidRDefault="00654F03" w:rsidP="003E3477">
            <w:pPr>
              <w:ind w:left="5" w:right="-108" w:hanging="113"/>
              <w:rPr>
                <w:rFonts w:cs="Arial"/>
                <w:sz w:val="18"/>
                <w:szCs w:val="18"/>
                <w:lang w:val="en-US"/>
              </w:rPr>
            </w:pPr>
          </w:p>
        </w:tc>
        <w:tc>
          <w:tcPr>
            <w:tcW w:w="1702" w:type="dxa"/>
            <w:tcBorders>
              <w:top w:val="nil"/>
              <w:left w:val="nil"/>
              <w:bottom w:val="single" w:sz="4" w:space="0" w:color="auto"/>
              <w:right w:val="nil"/>
            </w:tcBorders>
            <w:vAlign w:val="bottom"/>
          </w:tcPr>
          <w:p w14:paraId="049022E6" w14:textId="1D751BF9" w:rsidR="00654F03" w:rsidRPr="00F22DA3" w:rsidRDefault="003E3477" w:rsidP="003E3477">
            <w:pPr>
              <w:ind w:left="-108" w:right="68"/>
              <w:jc w:val="right"/>
              <w:rPr>
                <w:rFonts w:cs="Arial"/>
                <w:b/>
                <w:bCs/>
                <w:sz w:val="18"/>
                <w:szCs w:val="18"/>
              </w:rPr>
            </w:pPr>
            <w:r w:rsidRPr="00F22DA3">
              <w:rPr>
                <w:b/>
                <w:sz w:val="18"/>
                <w:szCs w:val="18"/>
              </w:rPr>
              <w:t>USD</w:t>
            </w:r>
          </w:p>
        </w:tc>
        <w:tc>
          <w:tcPr>
            <w:tcW w:w="1702" w:type="dxa"/>
            <w:tcBorders>
              <w:top w:val="nil"/>
              <w:left w:val="nil"/>
              <w:bottom w:val="single" w:sz="4" w:space="0" w:color="auto"/>
              <w:right w:val="nil"/>
            </w:tcBorders>
            <w:vAlign w:val="bottom"/>
          </w:tcPr>
          <w:p w14:paraId="289792F8" w14:textId="5919C07B" w:rsidR="00654F03" w:rsidRPr="00F22DA3" w:rsidRDefault="003E3477" w:rsidP="00F22DA3">
            <w:pPr>
              <w:ind w:left="-108"/>
              <w:jc w:val="right"/>
              <w:rPr>
                <w:rFonts w:cs="Arial"/>
                <w:b/>
                <w:bCs/>
                <w:sz w:val="18"/>
                <w:szCs w:val="18"/>
              </w:rPr>
            </w:pPr>
            <w:r w:rsidRPr="00F22DA3">
              <w:rPr>
                <w:b/>
                <w:bCs/>
                <w:sz w:val="18"/>
                <w:szCs w:val="18"/>
              </w:rPr>
              <w:t>EUR</w:t>
            </w:r>
          </w:p>
        </w:tc>
      </w:tr>
      <w:tr w:rsidR="00654F03" w:rsidRPr="00F22DA3" w14:paraId="45109A15" w14:textId="77777777" w:rsidTr="00F57670">
        <w:trPr>
          <w:trHeight w:val="373"/>
          <w:jc w:val="center"/>
        </w:trPr>
        <w:tc>
          <w:tcPr>
            <w:tcW w:w="5529" w:type="dxa"/>
            <w:tcBorders>
              <w:left w:val="nil"/>
              <w:right w:val="nil"/>
            </w:tcBorders>
            <w:vAlign w:val="bottom"/>
          </w:tcPr>
          <w:p w14:paraId="1A23D7D2" w14:textId="134B2005" w:rsidR="00654F03" w:rsidRPr="00F22DA3" w:rsidRDefault="003E3477" w:rsidP="003E3477">
            <w:pPr>
              <w:ind w:right="-108" w:hanging="108"/>
              <w:rPr>
                <w:rFonts w:cs="Arial"/>
                <w:b/>
                <w:bCs/>
                <w:smallCaps/>
                <w:sz w:val="18"/>
                <w:szCs w:val="18"/>
              </w:rPr>
            </w:pPr>
            <w:r w:rsidRPr="00F22DA3">
              <w:rPr>
                <w:b/>
                <w:bCs/>
                <w:sz w:val="18"/>
                <w:szCs w:val="18"/>
              </w:rPr>
              <w:t>31 December 2019</w:t>
            </w:r>
          </w:p>
        </w:tc>
        <w:tc>
          <w:tcPr>
            <w:tcW w:w="1702" w:type="dxa"/>
            <w:tcBorders>
              <w:left w:val="nil"/>
              <w:right w:val="nil"/>
            </w:tcBorders>
            <w:vAlign w:val="bottom"/>
          </w:tcPr>
          <w:p w14:paraId="6C1B5A78" w14:textId="4549F9C8" w:rsidR="00654F03" w:rsidRPr="00F22DA3" w:rsidRDefault="003E3477" w:rsidP="003E3477">
            <w:pPr>
              <w:ind w:left="-108" w:right="68"/>
              <w:jc w:val="right"/>
              <w:rPr>
                <w:rFonts w:cs="Arial"/>
                <w:b/>
                <w:bCs/>
                <w:sz w:val="18"/>
                <w:szCs w:val="18"/>
              </w:rPr>
            </w:pPr>
            <w:r w:rsidRPr="00F22DA3">
              <w:rPr>
                <w:b/>
                <w:bCs/>
                <w:sz w:val="18"/>
                <w:szCs w:val="18"/>
              </w:rPr>
              <w:t>1.700</w:t>
            </w:r>
          </w:p>
        </w:tc>
        <w:tc>
          <w:tcPr>
            <w:tcW w:w="1702" w:type="dxa"/>
            <w:tcBorders>
              <w:left w:val="nil"/>
              <w:right w:val="nil"/>
            </w:tcBorders>
            <w:vAlign w:val="bottom"/>
          </w:tcPr>
          <w:p w14:paraId="706A9CDC" w14:textId="4DAF169C" w:rsidR="00654F03" w:rsidRPr="00F22DA3" w:rsidRDefault="003E3477" w:rsidP="00F22DA3">
            <w:pPr>
              <w:ind w:left="-108"/>
              <w:jc w:val="right"/>
              <w:rPr>
                <w:rFonts w:cs="Arial"/>
                <w:b/>
                <w:bCs/>
                <w:sz w:val="18"/>
                <w:szCs w:val="18"/>
              </w:rPr>
            </w:pPr>
            <w:r w:rsidRPr="00F22DA3">
              <w:rPr>
                <w:b/>
                <w:bCs/>
                <w:sz w:val="18"/>
                <w:szCs w:val="18"/>
              </w:rPr>
              <w:t>1.9035</w:t>
            </w:r>
          </w:p>
        </w:tc>
      </w:tr>
      <w:tr w:rsidR="00654F03" w:rsidRPr="00F22DA3" w14:paraId="618C6090" w14:textId="77777777" w:rsidTr="00F57670">
        <w:trPr>
          <w:trHeight w:val="227"/>
          <w:jc w:val="center"/>
        </w:trPr>
        <w:tc>
          <w:tcPr>
            <w:tcW w:w="5529" w:type="dxa"/>
            <w:tcBorders>
              <w:left w:val="nil"/>
              <w:bottom w:val="single" w:sz="12" w:space="0" w:color="auto"/>
              <w:right w:val="nil"/>
            </w:tcBorders>
            <w:vAlign w:val="bottom"/>
          </w:tcPr>
          <w:p w14:paraId="55253889" w14:textId="6A315A6F" w:rsidR="00654F03" w:rsidRPr="00F22DA3" w:rsidDel="00091133" w:rsidRDefault="003E3477" w:rsidP="003E3477">
            <w:pPr>
              <w:ind w:left="5" w:right="-108" w:hanging="113"/>
              <w:rPr>
                <w:rFonts w:cs="Arial"/>
                <w:sz w:val="18"/>
                <w:szCs w:val="18"/>
              </w:rPr>
            </w:pPr>
            <w:r w:rsidRPr="00F22DA3">
              <w:rPr>
                <w:sz w:val="18"/>
                <w:szCs w:val="18"/>
              </w:rPr>
              <w:t>31 December 2018</w:t>
            </w:r>
          </w:p>
        </w:tc>
        <w:tc>
          <w:tcPr>
            <w:tcW w:w="1702" w:type="dxa"/>
            <w:tcBorders>
              <w:left w:val="nil"/>
              <w:bottom w:val="single" w:sz="12" w:space="0" w:color="auto"/>
              <w:right w:val="nil"/>
            </w:tcBorders>
            <w:vAlign w:val="bottom"/>
          </w:tcPr>
          <w:p w14:paraId="0FF6BD95" w14:textId="691482B2" w:rsidR="00654F03" w:rsidRPr="00F22DA3" w:rsidRDefault="003E3477" w:rsidP="003E3477">
            <w:pPr>
              <w:ind w:left="-108" w:right="68"/>
              <w:jc w:val="right"/>
              <w:rPr>
                <w:rFonts w:cs="Arial"/>
                <w:bCs/>
                <w:sz w:val="18"/>
                <w:szCs w:val="18"/>
              </w:rPr>
            </w:pPr>
            <w:r w:rsidRPr="00F22DA3">
              <w:rPr>
                <w:bCs/>
                <w:sz w:val="18"/>
                <w:szCs w:val="18"/>
              </w:rPr>
              <w:t>1.700</w:t>
            </w:r>
          </w:p>
        </w:tc>
        <w:tc>
          <w:tcPr>
            <w:tcW w:w="1702" w:type="dxa"/>
            <w:tcBorders>
              <w:left w:val="nil"/>
              <w:bottom w:val="single" w:sz="12" w:space="0" w:color="auto"/>
              <w:right w:val="nil"/>
            </w:tcBorders>
            <w:vAlign w:val="bottom"/>
          </w:tcPr>
          <w:p w14:paraId="07D3C07E" w14:textId="1E1B20EA" w:rsidR="00654F03" w:rsidRPr="00F22DA3" w:rsidRDefault="003E3477" w:rsidP="00F22DA3">
            <w:pPr>
              <w:ind w:left="-108"/>
              <w:jc w:val="right"/>
              <w:rPr>
                <w:rFonts w:cs="Arial"/>
                <w:bCs/>
                <w:sz w:val="18"/>
                <w:szCs w:val="18"/>
              </w:rPr>
            </w:pPr>
            <w:r w:rsidRPr="00F22DA3">
              <w:rPr>
                <w:bCs/>
                <w:sz w:val="18"/>
                <w:szCs w:val="18"/>
              </w:rPr>
              <w:t>1.9468</w:t>
            </w:r>
          </w:p>
        </w:tc>
      </w:tr>
    </w:tbl>
    <w:p w14:paraId="0D6387C2" w14:textId="2374519D" w:rsidR="00F22DA3" w:rsidRPr="00DE5B33" w:rsidRDefault="00F22DA3" w:rsidP="00DE5B33">
      <w:pPr>
        <w:pStyle w:val="ListParagraph"/>
        <w:numPr>
          <w:ilvl w:val="0"/>
          <w:numId w:val="1"/>
        </w:numPr>
        <w:spacing w:before="240" w:after="120"/>
        <w:outlineLvl w:val="0"/>
        <w:rPr>
          <w:b/>
          <w:bCs/>
          <w:sz w:val="18"/>
          <w:szCs w:val="18"/>
          <w:lang w:val="en-US"/>
        </w:rPr>
      </w:pPr>
      <w:bookmarkStart w:id="19" w:name="_Toc57894888"/>
      <w:r w:rsidRPr="00DE5B33">
        <w:rPr>
          <w:b/>
          <w:bCs/>
          <w:sz w:val="18"/>
          <w:szCs w:val="18"/>
          <w:lang w:val="en-US"/>
        </w:rPr>
        <w:lastRenderedPageBreak/>
        <w:t>Basis of presentation</w:t>
      </w:r>
      <w:bookmarkEnd w:id="19"/>
    </w:p>
    <w:p w14:paraId="6CABF6D7" w14:textId="77777777" w:rsidR="00F22DA3" w:rsidRPr="00F22DA3" w:rsidRDefault="00F22DA3" w:rsidP="00F22DA3">
      <w:pPr>
        <w:spacing w:before="240"/>
        <w:jc w:val="both"/>
        <w:rPr>
          <w:b/>
          <w:i/>
          <w:sz w:val="18"/>
          <w:szCs w:val="18"/>
        </w:rPr>
      </w:pPr>
      <w:r w:rsidRPr="00F22DA3">
        <w:rPr>
          <w:b/>
          <w:i/>
          <w:sz w:val="18"/>
          <w:szCs w:val="18"/>
        </w:rPr>
        <w:t>General principles</w:t>
      </w:r>
    </w:p>
    <w:p w14:paraId="616457DB" w14:textId="77777777" w:rsidR="00F22DA3" w:rsidRPr="00EC690A" w:rsidRDefault="00F22DA3" w:rsidP="00F22DA3">
      <w:pPr>
        <w:autoSpaceDE w:val="0"/>
        <w:autoSpaceDN w:val="0"/>
        <w:adjustRightInd w:val="0"/>
        <w:spacing w:before="120"/>
        <w:jc w:val="both"/>
        <w:rPr>
          <w:rFonts w:cs="Courier New"/>
          <w:sz w:val="18"/>
          <w:szCs w:val="18"/>
        </w:rPr>
      </w:pPr>
      <w:r w:rsidRPr="00EC690A">
        <w:rPr>
          <w:sz w:val="18"/>
          <w:szCs w:val="18"/>
        </w:rPr>
        <w:t>These financial statements are prepared in accordance with International Financial Reporting Standards (“IFRS”) issued by the International Accounting Standards Board (“IASB”). The Company maintains its accounting records in accordance with the applicable legislation of the Republic of Azerbaijan</w:t>
      </w:r>
      <w:r w:rsidRPr="00EC690A">
        <w:rPr>
          <w:rFonts w:cs="Courier New"/>
          <w:sz w:val="18"/>
          <w:szCs w:val="18"/>
        </w:rPr>
        <w:t xml:space="preserve">. </w:t>
      </w:r>
      <w:r w:rsidRPr="00EC690A">
        <w:rPr>
          <w:sz w:val="18"/>
          <w:szCs w:val="18"/>
        </w:rPr>
        <w:t xml:space="preserve">These financial statements have been prepared </w:t>
      </w:r>
      <w:proofErr w:type="gramStart"/>
      <w:r w:rsidRPr="00EC690A">
        <w:rPr>
          <w:sz w:val="18"/>
          <w:szCs w:val="18"/>
        </w:rPr>
        <w:t>on the basis of</w:t>
      </w:r>
      <w:proofErr w:type="gramEnd"/>
      <w:r w:rsidRPr="00EC690A">
        <w:rPr>
          <w:sz w:val="18"/>
          <w:szCs w:val="18"/>
        </w:rPr>
        <w:t xml:space="preserve"> those accounting records and adjusted as necessary in order to comply, in all material respects, with IFRS</w:t>
      </w:r>
      <w:r w:rsidRPr="00EC690A">
        <w:rPr>
          <w:rFonts w:cs="Courier New"/>
          <w:sz w:val="18"/>
          <w:szCs w:val="18"/>
        </w:rPr>
        <w:t>.</w:t>
      </w:r>
    </w:p>
    <w:p w14:paraId="618B450C" w14:textId="77777777" w:rsidR="00F22DA3" w:rsidRPr="00EC690A" w:rsidRDefault="00F22DA3" w:rsidP="00F22DA3">
      <w:pPr>
        <w:autoSpaceDE w:val="0"/>
        <w:autoSpaceDN w:val="0"/>
        <w:adjustRightInd w:val="0"/>
        <w:spacing w:before="240"/>
        <w:rPr>
          <w:rFonts w:cs="Courier New"/>
          <w:b/>
          <w:bCs/>
          <w:i/>
          <w:sz w:val="18"/>
          <w:szCs w:val="18"/>
        </w:rPr>
      </w:pPr>
      <w:r w:rsidRPr="00EC690A">
        <w:rPr>
          <w:rFonts w:cs="Courier New"/>
          <w:b/>
          <w:bCs/>
          <w:i/>
          <w:sz w:val="18"/>
          <w:szCs w:val="18"/>
        </w:rPr>
        <w:t>Functional and presentation currency</w:t>
      </w:r>
    </w:p>
    <w:p w14:paraId="36E4CB0E" w14:textId="6659DFBA" w:rsidR="00F22DA3" w:rsidRPr="00EC690A" w:rsidRDefault="00F22DA3" w:rsidP="00142917">
      <w:pPr>
        <w:autoSpaceDE w:val="0"/>
        <w:autoSpaceDN w:val="0"/>
        <w:spacing w:before="120"/>
        <w:jc w:val="both"/>
        <w:rPr>
          <w:sz w:val="18"/>
          <w:szCs w:val="18"/>
        </w:rPr>
      </w:pPr>
      <w:r w:rsidRPr="00EC690A">
        <w:rPr>
          <w:rFonts w:cs="Courier New"/>
          <w:sz w:val="18"/>
          <w:szCs w:val="18"/>
        </w:rPr>
        <w:t xml:space="preserve">These financial statements are presented in Azerbaijani </w:t>
      </w:r>
      <w:proofErr w:type="spellStart"/>
      <w:r w:rsidRPr="00EC690A">
        <w:rPr>
          <w:rFonts w:cs="Courier New"/>
          <w:sz w:val="18"/>
          <w:szCs w:val="18"/>
        </w:rPr>
        <w:t>manats</w:t>
      </w:r>
      <w:proofErr w:type="spellEnd"/>
      <w:r w:rsidR="00142917" w:rsidRPr="00142917">
        <w:rPr>
          <w:rFonts w:cs="Courier New"/>
          <w:sz w:val="18"/>
          <w:szCs w:val="18"/>
        </w:rPr>
        <w:t xml:space="preserve"> (</w:t>
      </w:r>
      <w:r w:rsidR="00142917">
        <w:rPr>
          <w:rFonts w:cs="Courier New"/>
          <w:sz w:val="18"/>
          <w:szCs w:val="18"/>
          <w:lang w:val="en-US"/>
        </w:rPr>
        <w:t>“AZN”)</w:t>
      </w:r>
      <w:r w:rsidRPr="00EC690A">
        <w:rPr>
          <w:rFonts w:cs="Courier New"/>
          <w:sz w:val="18"/>
          <w:szCs w:val="18"/>
        </w:rPr>
        <w:t xml:space="preserve"> being the Company’s functional and presentation currency</w:t>
      </w:r>
      <w:r w:rsidRPr="00EC690A">
        <w:rPr>
          <w:sz w:val="18"/>
          <w:szCs w:val="18"/>
        </w:rPr>
        <w:t xml:space="preserve">. AZN is the prevailing currency in the primary economic environment where the Company conducts its ordinary activities and in which majority of receipts from operating activities are retained. </w:t>
      </w:r>
    </w:p>
    <w:p w14:paraId="024EAEEF" w14:textId="77777777" w:rsidR="00F22DA3" w:rsidRPr="00EC690A" w:rsidRDefault="00F22DA3" w:rsidP="00F22DA3">
      <w:pPr>
        <w:autoSpaceDE w:val="0"/>
        <w:autoSpaceDN w:val="0"/>
        <w:adjustRightInd w:val="0"/>
        <w:spacing w:before="240"/>
        <w:rPr>
          <w:rFonts w:cs="Courier New"/>
          <w:b/>
          <w:bCs/>
          <w:i/>
          <w:sz w:val="18"/>
          <w:szCs w:val="18"/>
        </w:rPr>
      </w:pPr>
      <w:r w:rsidRPr="00EC690A">
        <w:rPr>
          <w:rFonts w:cs="Courier New"/>
          <w:b/>
          <w:bCs/>
          <w:i/>
          <w:sz w:val="18"/>
          <w:szCs w:val="18"/>
        </w:rPr>
        <w:t>Estimates and assumptions</w:t>
      </w:r>
    </w:p>
    <w:p w14:paraId="373AA9D5" w14:textId="77777777" w:rsidR="00142917" w:rsidRDefault="00F22DA3" w:rsidP="00142917">
      <w:pPr>
        <w:autoSpaceDE w:val="0"/>
        <w:autoSpaceDN w:val="0"/>
        <w:adjustRightInd w:val="0"/>
        <w:spacing w:before="120"/>
        <w:jc w:val="both"/>
        <w:rPr>
          <w:sz w:val="18"/>
          <w:szCs w:val="18"/>
        </w:rPr>
      </w:pPr>
      <w:r w:rsidRPr="00EC690A">
        <w:rPr>
          <w:sz w:val="18"/>
          <w:szCs w:val="18"/>
        </w:rPr>
        <w:t>The preparation of the financial statements requires the use of</w:t>
      </w:r>
      <w:r w:rsidR="00142917">
        <w:rPr>
          <w:sz w:val="18"/>
          <w:szCs w:val="18"/>
        </w:rPr>
        <w:t xml:space="preserve"> accounting</w:t>
      </w:r>
      <w:r w:rsidRPr="00EC690A">
        <w:rPr>
          <w:sz w:val="18"/>
          <w:szCs w:val="18"/>
        </w:rPr>
        <w:t xml:space="preserve"> estimates </w:t>
      </w:r>
      <w:r w:rsidR="00142917">
        <w:rPr>
          <w:sz w:val="18"/>
          <w:szCs w:val="18"/>
        </w:rPr>
        <w:t>which, by definition, will seldom equal the actual results. The Company makes certain estimates and assumptions regarding the future. The management also needs to exercise judgement in applying the accounting policies.</w:t>
      </w:r>
    </w:p>
    <w:p w14:paraId="7D9A592E" w14:textId="22F5F5D2" w:rsidR="007E4238" w:rsidRDefault="00142917" w:rsidP="00142917">
      <w:pPr>
        <w:autoSpaceDE w:val="0"/>
        <w:autoSpaceDN w:val="0"/>
        <w:adjustRightInd w:val="0"/>
        <w:spacing w:before="120"/>
        <w:jc w:val="both"/>
        <w:rPr>
          <w:sz w:val="18"/>
          <w:szCs w:val="18"/>
        </w:rPr>
      </w:pPr>
      <w:r>
        <w:rPr>
          <w:sz w:val="18"/>
          <w:szCs w:val="18"/>
        </w:rPr>
        <w:t>Estimates and judgments are continually evaluated based on historical experience and other factors, including expectations of future events that are believed to be reasonable under the circumstances. In the future, actual experience may</w:t>
      </w:r>
      <w:r w:rsidR="007E4238">
        <w:rPr>
          <w:sz w:val="18"/>
          <w:szCs w:val="18"/>
        </w:rPr>
        <w:t xml:space="preserve"> d</w:t>
      </w:r>
      <w:r>
        <w:rPr>
          <w:sz w:val="18"/>
          <w:szCs w:val="18"/>
        </w:rPr>
        <w:t>eviate from these estimates and assumptions. Key source of estimation uncertainty that have a significant risk of causing a material adjustment to the carrying amounts of assets and liabilities</w:t>
      </w:r>
      <w:r w:rsidR="007E4238">
        <w:rPr>
          <w:sz w:val="18"/>
          <w:szCs w:val="18"/>
        </w:rPr>
        <w:t xml:space="preserve"> within the next financial year are discussed below.</w:t>
      </w:r>
    </w:p>
    <w:p w14:paraId="64CCAD54" w14:textId="77777777" w:rsidR="00F22DA3" w:rsidRPr="00EC690A" w:rsidRDefault="00F22DA3" w:rsidP="00F22DA3">
      <w:pPr>
        <w:autoSpaceDE w:val="0"/>
        <w:autoSpaceDN w:val="0"/>
        <w:adjustRightInd w:val="0"/>
        <w:spacing w:before="240"/>
        <w:rPr>
          <w:rFonts w:cs="Courier New"/>
          <w:b/>
          <w:bCs/>
          <w:i/>
          <w:sz w:val="18"/>
          <w:szCs w:val="18"/>
        </w:rPr>
      </w:pPr>
      <w:r w:rsidRPr="00EC690A">
        <w:rPr>
          <w:rFonts w:cs="Courier New"/>
          <w:b/>
          <w:bCs/>
          <w:i/>
          <w:sz w:val="18"/>
          <w:szCs w:val="18"/>
        </w:rPr>
        <w:t>Going concern</w:t>
      </w:r>
    </w:p>
    <w:p w14:paraId="1B226C20" w14:textId="77777777" w:rsidR="00F22DA3" w:rsidRPr="00EC690A" w:rsidRDefault="00F22DA3" w:rsidP="007E4238">
      <w:pPr>
        <w:autoSpaceDE w:val="0"/>
        <w:autoSpaceDN w:val="0"/>
        <w:adjustRightInd w:val="0"/>
        <w:spacing w:before="120" w:after="120"/>
        <w:jc w:val="both"/>
        <w:rPr>
          <w:rFonts w:cs="Courier New"/>
          <w:b/>
          <w:bCs/>
          <w:sz w:val="18"/>
          <w:szCs w:val="18"/>
        </w:rPr>
      </w:pPr>
      <w:r w:rsidRPr="00EC690A">
        <w:rPr>
          <w:sz w:val="18"/>
          <w:szCs w:val="18"/>
        </w:rPr>
        <w:t>These financial statements have been prepared on the assumption that the Company is a going concern and will continue in operation for the foreseeable future.</w:t>
      </w:r>
    </w:p>
    <w:p w14:paraId="129ABDBA" w14:textId="77777777" w:rsidR="00F22DA3" w:rsidRPr="00EC690A" w:rsidRDefault="00F22DA3" w:rsidP="007E4238">
      <w:pPr>
        <w:autoSpaceDE w:val="0"/>
        <w:autoSpaceDN w:val="0"/>
        <w:adjustRightInd w:val="0"/>
        <w:spacing w:before="120" w:after="120"/>
        <w:jc w:val="both"/>
        <w:rPr>
          <w:rFonts w:cs="Garamond"/>
          <w:sz w:val="18"/>
          <w:szCs w:val="18"/>
        </w:rPr>
      </w:pPr>
      <w:r w:rsidRPr="00EC690A">
        <w:rPr>
          <w:sz w:val="18"/>
          <w:szCs w:val="18"/>
        </w:rPr>
        <w:t>These financial statements reflect the Company management’s current assessment of the impact of the Azerbaijani business environment on the operations and the financial position of the Company</w:t>
      </w:r>
      <w:r w:rsidRPr="00EC690A">
        <w:rPr>
          <w:rFonts w:cs="Garamond"/>
          <w:sz w:val="18"/>
          <w:szCs w:val="18"/>
        </w:rPr>
        <w:t xml:space="preserve">. </w:t>
      </w:r>
      <w:r w:rsidRPr="00EC690A">
        <w:rPr>
          <w:sz w:val="18"/>
          <w:szCs w:val="18"/>
        </w:rPr>
        <w:t>The future economic direction of Azerbaijan is largely dependent upon the effectiveness of measures undertaken by the Azerbaijani Government and other factors, including regulatory and political developments, which are beyond the Company’s control</w:t>
      </w:r>
      <w:r w:rsidRPr="00EC690A">
        <w:rPr>
          <w:rFonts w:cs="Garamond"/>
          <w:sz w:val="18"/>
          <w:szCs w:val="18"/>
        </w:rPr>
        <w:t xml:space="preserve">. The Company’s management cannot predict what impact these factors can have on the Company’s financial position in future. </w:t>
      </w:r>
    </w:p>
    <w:p w14:paraId="556D4197" w14:textId="264AC8FA" w:rsidR="00F22DA3" w:rsidRDefault="00F22DA3" w:rsidP="007E4238">
      <w:pPr>
        <w:spacing w:before="120" w:after="120"/>
        <w:jc w:val="both"/>
        <w:rPr>
          <w:rFonts w:cs="Courier New"/>
          <w:sz w:val="18"/>
          <w:szCs w:val="18"/>
        </w:rPr>
      </w:pPr>
      <w:r w:rsidRPr="00EC690A">
        <w:rPr>
          <w:rFonts w:cs="Courier New"/>
          <w:sz w:val="18"/>
          <w:szCs w:val="18"/>
        </w:rPr>
        <w:t>For prompt management of liquidity risk the Company regularly monitors external factors, which could influence the Company’s liquidity level, and forecasted cash flows. For the medium- and long-term liquidity risk management the Company analyses</w:t>
      </w:r>
      <w:r w:rsidRPr="00EC690A">
        <w:rPr>
          <w:color w:val="000000"/>
          <w:sz w:val="18"/>
          <w:szCs w:val="18"/>
        </w:rPr>
        <w:t xml:space="preserve"> maturity mismatches of assets and liabilities</w:t>
      </w:r>
      <w:r w:rsidRPr="00EC690A">
        <w:rPr>
          <w:rFonts w:cs="Courier New"/>
          <w:sz w:val="18"/>
          <w:szCs w:val="18"/>
        </w:rPr>
        <w:t>. To reduce its risk exposure the Company sets liquidity gap limits. The set limits are periodically reviewed to reflect the changes in external and internal environment.</w:t>
      </w:r>
    </w:p>
    <w:p w14:paraId="7216C3CA" w14:textId="77777777" w:rsidR="007E4238" w:rsidRPr="00EC690A" w:rsidRDefault="007E4238" w:rsidP="007E4238">
      <w:pPr>
        <w:autoSpaceDE w:val="0"/>
        <w:autoSpaceDN w:val="0"/>
        <w:adjustRightInd w:val="0"/>
        <w:spacing w:before="240"/>
        <w:rPr>
          <w:rFonts w:cs="Courier New"/>
          <w:b/>
          <w:bCs/>
          <w:i/>
          <w:sz w:val="18"/>
          <w:szCs w:val="18"/>
        </w:rPr>
      </w:pPr>
      <w:r w:rsidRPr="00EC690A">
        <w:rPr>
          <w:rFonts w:cs="Courier New"/>
          <w:b/>
          <w:bCs/>
          <w:i/>
          <w:sz w:val="18"/>
          <w:szCs w:val="18"/>
        </w:rPr>
        <w:t>Changes in Accounting Policies</w:t>
      </w:r>
    </w:p>
    <w:p w14:paraId="744E54FB" w14:textId="25B7E585" w:rsidR="002E77BF" w:rsidRDefault="002E77BF" w:rsidP="002E77BF">
      <w:pPr>
        <w:pStyle w:val="ABC-paragrahinNotes"/>
        <w:spacing w:before="120" w:after="120"/>
        <w:rPr>
          <w:rFonts w:ascii="Trebuchet MS" w:hAnsi="Trebuchet MS" w:cs="TimesNewRoman"/>
          <w:sz w:val="18"/>
          <w:szCs w:val="18"/>
        </w:rPr>
      </w:pPr>
      <w:r w:rsidRPr="002E77BF">
        <w:rPr>
          <w:rFonts w:ascii="Trebuchet MS" w:hAnsi="Trebuchet MS" w:cs="TimesNewRoman"/>
          <w:sz w:val="18"/>
          <w:szCs w:val="18"/>
        </w:rPr>
        <w:t xml:space="preserve">In preparing these financial statements, the </w:t>
      </w:r>
      <w:r>
        <w:rPr>
          <w:rFonts w:ascii="Trebuchet MS" w:hAnsi="Trebuchet MS" w:cs="TimesNewRoman"/>
          <w:sz w:val="18"/>
          <w:szCs w:val="18"/>
        </w:rPr>
        <w:t xml:space="preserve">Company </w:t>
      </w:r>
      <w:r w:rsidRPr="002E77BF">
        <w:rPr>
          <w:rFonts w:ascii="Trebuchet MS" w:hAnsi="Trebuchet MS" w:cs="TimesNewRoman"/>
          <w:sz w:val="18"/>
          <w:szCs w:val="18"/>
        </w:rPr>
        <w:t xml:space="preserve">applied the same accounting policies and calculation methods as when preparing the financial statements for the year ended </w:t>
      </w:r>
      <w:r>
        <w:rPr>
          <w:rFonts w:ascii="Trebuchet MS" w:hAnsi="Trebuchet MS" w:cs="TimesNewRoman"/>
          <w:sz w:val="18"/>
          <w:szCs w:val="18"/>
        </w:rPr>
        <w:t xml:space="preserve">31 </w:t>
      </w:r>
      <w:r w:rsidRPr="002E77BF">
        <w:rPr>
          <w:rFonts w:ascii="Trebuchet MS" w:hAnsi="Trebuchet MS" w:cs="TimesNewRoman"/>
          <w:sz w:val="18"/>
          <w:szCs w:val="18"/>
        </w:rPr>
        <w:t xml:space="preserve">December 2018, </w:t>
      </w:r>
      <w:proofErr w:type="gramStart"/>
      <w:r w:rsidRPr="002E77BF">
        <w:rPr>
          <w:rFonts w:ascii="Trebuchet MS" w:hAnsi="Trebuchet MS" w:cs="TimesNewRoman"/>
          <w:sz w:val="18"/>
          <w:szCs w:val="18"/>
        </w:rPr>
        <w:t>taking into account</w:t>
      </w:r>
      <w:proofErr w:type="gramEnd"/>
      <w:r w:rsidRPr="002E77BF">
        <w:rPr>
          <w:rFonts w:ascii="Trebuchet MS" w:hAnsi="Trebuchet MS" w:cs="TimesNewRoman"/>
          <w:sz w:val="18"/>
          <w:szCs w:val="18"/>
        </w:rPr>
        <w:t xml:space="preserve"> the new amendments to the standards. The Company adopted no other standards, interpretations or amendments that have been issued but not yet effective.</w:t>
      </w:r>
    </w:p>
    <w:p w14:paraId="0038DFAE" w14:textId="537F27AE" w:rsidR="007E4238" w:rsidRPr="007E4238" w:rsidRDefault="007E4238" w:rsidP="002E77BF">
      <w:pPr>
        <w:pStyle w:val="ABC-paragrahinNotes"/>
        <w:numPr>
          <w:ilvl w:val="0"/>
          <w:numId w:val="5"/>
        </w:numPr>
        <w:spacing w:before="120" w:after="120"/>
        <w:ind w:left="567" w:hanging="567"/>
        <w:rPr>
          <w:rFonts w:ascii="Trebuchet MS" w:hAnsi="Trebuchet MS" w:cs="TimesNewRoman"/>
          <w:i/>
          <w:iCs/>
          <w:sz w:val="18"/>
          <w:szCs w:val="18"/>
        </w:rPr>
      </w:pPr>
      <w:r w:rsidRPr="007E4238">
        <w:rPr>
          <w:rFonts w:ascii="Trebuchet MS" w:hAnsi="Trebuchet MS" w:cs="TimesNewRoman"/>
          <w:i/>
          <w:iCs/>
          <w:sz w:val="18"/>
          <w:szCs w:val="18"/>
        </w:rPr>
        <w:t>New standards, interpretations and amendments effective from 1 January 2019</w:t>
      </w:r>
    </w:p>
    <w:p w14:paraId="49EE706E" w14:textId="58129966" w:rsidR="007E4238" w:rsidRDefault="007E4238" w:rsidP="007E4238">
      <w:pPr>
        <w:pStyle w:val="ABC-paragrahinNotes"/>
        <w:rPr>
          <w:rFonts w:ascii="Trebuchet MS" w:hAnsi="Trebuchet MS" w:cs="TimesNewRoman"/>
          <w:sz w:val="18"/>
          <w:szCs w:val="18"/>
          <w:lang w:val="en-US"/>
        </w:rPr>
      </w:pPr>
      <w:r>
        <w:rPr>
          <w:rFonts w:ascii="Trebuchet MS" w:hAnsi="Trebuchet MS" w:cs="TimesNewRoman"/>
          <w:sz w:val="18"/>
          <w:szCs w:val="18"/>
          <w:lang w:val="en-US"/>
        </w:rPr>
        <w:t>For the preparation of th</w:t>
      </w:r>
      <w:r w:rsidR="002E77BF">
        <w:rPr>
          <w:rFonts w:ascii="Trebuchet MS" w:hAnsi="Trebuchet MS" w:cs="TimesNewRoman"/>
          <w:sz w:val="18"/>
          <w:szCs w:val="18"/>
          <w:lang w:val="en-US"/>
        </w:rPr>
        <w:t>e</w:t>
      </w:r>
      <w:r>
        <w:rPr>
          <w:rFonts w:ascii="Trebuchet MS" w:hAnsi="Trebuchet MS" w:cs="TimesNewRoman"/>
          <w:sz w:val="18"/>
          <w:szCs w:val="18"/>
          <w:lang w:val="en-US"/>
        </w:rPr>
        <w:t xml:space="preserve">se financial statements, the following new or amended standards are mandatory for the first time for the </w:t>
      </w:r>
      <w:r w:rsidR="002E77BF">
        <w:rPr>
          <w:rFonts w:ascii="Trebuchet MS" w:hAnsi="Trebuchet MS" w:cs="TimesNewRoman"/>
          <w:sz w:val="18"/>
          <w:szCs w:val="18"/>
          <w:lang w:val="en-US"/>
        </w:rPr>
        <w:t>financial year beginning 1 January 2019:</w:t>
      </w:r>
    </w:p>
    <w:p w14:paraId="1935DBC2" w14:textId="62FBA124" w:rsidR="002E77BF" w:rsidRPr="002E77BF" w:rsidRDefault="002E77BF" w:rsidP="009B4E1C">
      <w:pPr>
        <w:pStyle w:val="ListParagraph"/>
        <w:numPr>
          <w:ilvl w:val="0"/>
          <w:numId w:val="6"/>
        </w:numPr>
        <w:spacing w:before="120" w:after="120"/>
        <w:ind w:left="714" w:hanging="357"/>
        <w:contextualSpacing w:val="0"/>
        <w:rPr>
          <w:sz w:val="18"/>
          <w:szCs w:val="18"/>
        </w:rPr>
      </w:pPr>
      <w:r w:rsidRPr="002E77BF">
        <w:rPr>
          <w:sz w:val="18"/>
          <w:szCs w:val="18"/>
        </w:rPr>
        <w:t xml:space="preserve">IFRS 16 </w:t>
      </w:r>
      <w:r>
        <w:rPr>
          <w:sz w:val="18"/>
          <w:szCs w:val="18"/>
        </w:rPr>
        <w:t>“</w:t>
      </w:r>
      <w:r w:rsidRPr="002E77BF">
        <w:rPr>
          <w:sz w:val="18"/>
          <w:szCs w:val="18"/>
        </w:rPr>
        <w:t>Leases</w:t>
      </w:r>
      <w:r>
        <w:rPr>
          <w:sz w:val="18"/>
          <w:szCs w:val="18"/>
        </w:rPr>
        <w:t>”</w:t>
      </w:r>
    </w:p>
    <w:p w14:paraId="37122345" w14:textId="2734C66E" w:rsidR="002E77BF" w:rsidRDefault="002E77BF" w:rsidP="009B4E1C">
      <w:pPr>
        <w:pStyle w:val="ListParagraph"/>
        <w:numPr>
          <w:ilvl w:val="0"/>
          <w:numId w:val="6"/>
        </w:numPr>
        <w:spacing w:before="120" w:after="120"/>
        <w:ind w:left="714" w:hanging="357"/>
        <w:contextualSpacing w:val="0"/>
        <w:rPr>
          <w:sz w:val="18"/>
          <w:szCs w:val="18"/>
        </w:rPr>
      </w:pPr>
      <w:r w:rsidRPr="002E77BF">
        <w:rPr>
          <w:sz w:val="18"/>
          <w:szCs w:val="18"/>
        </w:rPr>
        <w:t xml:space="preserve">Annual Improvements to IFRS 2015-2017 cycle </w:t>
      </w:r>
    </w:p>
    <w:p w14:paraId="6DBED7E3" w14:textId="2612020A" w:rsidR="002E77BF" w:rsidRPr="002E77BF" w:rsidRDefault="002E77BF" w:rsidP="009B4E1C">
      <w:pPr>
        <w:pStyle w:val="ABC-paragrahinNotes"/>
        <w:spacing w:before="240" w:after="120"/>
        <w:rPr>
          <w:rFonts w:ascii="Trebuchet MS" w:hAnsi="Trebuchet MS" w:cs="TimesNewRoman"/>
          <w:i/>
          <w:iCs/>
          <w:sz w:val="18"/>
          <w:szCs w:val="18"/>
        </w:rPr>
      </w:pPr>
      <w:r w:rsidRPr="002E77BF">
        <w:rPr>
          <w:rFonts w:ascii="Trebuchet MS" w:hAnsi="Trebuchet MS" w:cs="TimesNewRoman"/>
          <w:i/>
          <w:iCs/>
          <w:sz w:val="18"/>
          <w:szCs w:val="18"/>
        </w:rPr>
        <w:t>IFRS 16 “Lease”</w:t>
      </w:r>
    </w:p>
    <w:p w14:paraId="5A746E66" w14:textId="77777777" w:rsidR="00C43206" w:rsidRDefault="00F23A48" w:rsidP="00F23A48">
      <w:pPr>
        <w:pStyle w:val="ABC-paragrahinNotes"/>
        <w:spacing w:before="120" w:after="120"/>
        <w:rPr>
          <w:rFonts w:ascii="Trebuchet MS" w:hAnsi="Trebuchet MS" w:cs="TimesNewRoman"/>
          <w:sz w:val="18"/>
          <w:szCs w:val="18"/>
        </w:rPr>
      </w:pPr>
      <w:r w:rsidRPr="00F23A48">
        <w:rPr>
          <w:rFonts w:ascii="Trebuchet MS" w:hAnsi="Trebuchet MS" w:cs="TimesNewRoman"/>
          <w:sz w:val="18"/>
          <w:szCs w:val="18"/>
        </w:rPr>
        <w:t>IFRS 16 was issued in January 2016 and replaces IAS 17 Leases, IFRIC 4 Interpretation Determining whether an Arrangement Contains a Lease, SIC 15 Interpretation Operating Leases - Incentives and SIC 27 Evaluating the Substance of Transactions Involving the Legal Form of a Lease. IFRS 16 sets out the principles for the recognition, measurement, presentation and disclosure of leases</w:t>
      </w:r>
      <w:r>
        <w:rPr>
          <w:rFonts w:ascii="Trebuchet MS" w:hAnsi="Trebuchet MS" w:cs="TimesNewRoman"/>
          <w:sz w:val="18"/>
          <w:szCs w:val="18"/>
        </w:rPr>
        <w:t xml:space="preserve">. </w:t>
      </w:r>
    </w:p>
    <w:p w14:paraId="0203BC3C" w14:textId="77777777"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lastRenderedPageBreak/>
        <w:t>Lessor accounting is substantially unchanged from today’s accounting under IAS 17. Lessors will continue to classify all leases using the same classification principle as in IAS 17 and distinguish between two types of leases: operating and finance leases. Thus, the adoption of IFRS 16 has had no impact on the accounting treatment of leases in which the Group acted as a lessor.</w:t>
      </w:r>
    </w:p>
    <w:p w14:paraId="64590CB5" w14:textId="77777777"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 xml:space="preserve">IFRS 16 distinguishes leases and service contracts based on whether an identified asset is controlled by a customer. </w:t>
      </w:r>
    </w:p>
    <w:p w14:paraId="47495D76" w14:textId="183468A2" w:rsidR="00C43206" w:rsidRPr="00C43206" w:rsidRDefault="00C43206" w:rsidP="00C43206">
      <w:pPr>
        <w:pStyle w:val="ABC-paragrahinNotes"/>
        <w:spacing w:before="240" w:after="0"/>
        <w:rPr>
          <w:rFonts w:ascii="Trebuchet MS" w:hAnsi="Trebuchet MS" w:cs="TimesNewRoman"/>
          <w:i/>
          <w:iCs/>
          <w:sz w:val="18"/>
          <w:szCs w:val="18"/>
        </w:rPr>
      </w:pPr>
      <w:r w:rsidRPr="00C43206">
        <w:rPr>
          <w:rFonts w:ascii="Trebuchet MS" w:hAnsi="Trebuchet MS" w:cs="TimesNewRoman"/>
          <w:i/>
          <w:iCs/>
          <w:sz w:val="18"/>
          <w:szCs w:val="18"/>
        </w:rPr>
        <w:t>Effect of the new definition of a lease</w:t>
      </w:r>
    </w:p>
    <w:p w14:paraId="64936350" w14:textId="2ECB091B"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 xml:space="preserve">The </w:t>
      </w:r>
      <w:r>
        <w:rPr>
          <w:rFonts w:ascii="Trebuchet MS" w:hAnsi="Trebuchet MS" w:cs="TimesNewRoman"/>
          <w:sz w:val="18"/>
          <w:szCs w:val="18"/>
        </w:rPr>
        <w:t>Company</w:t>
      </w:r>
      <w:r w:rsidRPr="00C43206">
        <w:rPr>
          <w:rFonts w:ascii="Trebuchet MS" w:hAnsi="Trebuchet MS" w:cs="TimesNewRoman"/>
          <w:sz w:val="18"/>
          <w:szCs w:val="18"/>
        </w:rPr>
        <w:t xml:space="preserve"> has applied a practical expedient proposed as part of the transition to IFRS 16, which allows not to determine whether an arrangement is or contains a lease. Accordingly, the definition of leases under IAS 17 and IFRIC 4 is still applied to the leases concluded or changed before 1 January 2019. </w:t>
      </w:r>
    </w:p>
    <w:p w14:paraId="0555E00A" w14:textId="77777777"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A change in the definition of a lease relates primarily to the ‘control’ concept. This contrasts with the emphasis on ‘risks and rewards’ in IAS 17 and IFRS 4. IFRS 16 distinguishes between lease agreements and service contracts based on whether the buyer controls the identified asset. The identified asset is controlled if the customer has:</w:t>
      </w:r>
    </w:p>
    <w:p w14:paraId="4A80894B" w14:textId="2F906F66" w:rsidR="00C43206" w:rsidRPr="00C43206" w:rsidRDefault="00C43206" w:rsidP="00C43206">
      <w:pPr>
        <w:pStyle w:val="ABC-paragrahinNotes"/>
        <w:numPr>
          <w:ilvl w:val="0"/>
          <w:numId w:val="7"/>
        </w:numPr>
        <w:spacing w:before="120" w:after="120"/>
        <w:rPr>
          <w:rFonts w:ascii="Trebuchet MS" w:hAnsi="Trebuchet MS" w:cs="TimesNewRoman"/>
          <w:sz w:val="18"/>
          <w:szCs w:val="18"/>
        </w:rPr>
      </w:pPr>
      <w:r w:rsidRPr="00C43206">
        <w:rPr>
          <w:rFonts w:ascii="Trebuchet MS" w:hAnsi="Trebuchet MS" w:cs="TimesNewRoman"/>
          <w:sz w:val="18"/>
          <w:szCs w:val="18"/>
        </w:rPr>
        <w:t>The right to receive almost all economic benefits from the use of the identified asset; and</w:t>
      </w:r>
    </w:p>
    <w:p w14:paraId="401FDBC9" w14:textId="218317C6" w:rsidR="00C43206" w:rsidRPr="00C43206" w:rsidRDefault="00C43206" w:rsidP="00C43206">
      <w:pPr>
        <w:pStyle w:val="ABC-paragrahinNotes"/>
        <w:numPr>
          <w:ilvl w:val="0"/>
          <w:numId w:val="7"/>
        </w:numPr>
        <w:spacing w:before="120" w:after="120"/>
        <w:rPr>
          <w:rFonts w:ascii="Trebuchet MS" w:hAnsi="Trebuchet MS" w:cs="TimesNewRoman"/>
          <w:sz w:val="18"/>
          <w:szCs w:val="18"/>
        </w:rPr>
      </w:pPr>
      <w:r w:rsidRPr="00C43206">
        <w:rPr>
          <w:rFonts w:ascii="Trebuchet MS" w:hAnsi="Trebuchet MS" w:cs="TimesNewRoman"/>
          <w:sz w:val="18"/>
          <w:szCs w:val="18"/>
        </w:rPr>
        <w:t>The right to directly use such an asset.</w:t>
      </w:r>
    </w:p>
    <w:p w14:paraId="548FDC88" w14:textId="503254E4" w:rsid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 xml:space="preserve">The </w:t>
      </w:r>
      <w:r>
        <w:rPr>
          <w:rFonts w:ascii="Trebuchet MS" w:hAnsi="Trebuchet MS" w:cs="TimesNewRoman"/>
          <w:sz w:val="18"/>
          <w:szCs w:val="18"/>
        </w:rPr>
        <w:t>Company</w:t>
      </w:r>
      <w:r w:rsidRPr="00C43206">
        <w:rPr>
          <w:rFonts w:ascii="Trebuchet MS" w:hAnsi="Trebuchet MS" w:cs="TimesNewRoman"/>
          <w:sz w:val="18"/>
          <w:szCs w:val="18"/>
        </w:rPr>
        <w:t xml:space="preserve"> has applied the definition of a lease and related guidance in IFRS 16 to all leases </w:t>
      </w:r>
      <w:proofErr w:type="gramStart"/>
      <w:r w:rsidRPr="00C43206">
        <w:rPr>
          <w:rFonts w:ascii="Trebuchet MS" w:hAnsi="Trebuchet MS" w:cs="TimesNewRoman"/>
          <w:sz w:val="18"/>
          <w:szCs w:val="18"/>
        </w:rPr>
        <w:t>entered into</w:t>
      </w:r>
      <w:proofErr w:type="gramEnd"/>
      <w:r w:rsidRPr="00C43206">
        <w:rPr>
          <w:rFonts w:ascii="Trebuchet MS" w:hAnsi="Trebuchet MS" w:cs="TimesNewRoman"/>
          <w:sz w:val="18"/>
          <w:szCs w:val="18"/>
        </w:rPr>
        <w:t xml:space="preserve"> or amended as at 1 January 2019 or after that date. In preparing for the first application of IFRS 16, the </w:t>
      </w:r>
      <w:r>
        <w:rPr>
          <w:rFonts w:ascii="Trebuchet MS" w:hAnsi="Trebuchet MS" w:cs="TimesNewRoman"/>
          <w:sz w:val="18"/>
          <w:szCs w:val="18"/>
        </w:rPr>
        <w:t>Company</w:t>
      </w:r>
      <w:r w:rsidRPr="00C43206">
        <w:rPr>
          <w:rFonts w:ascii="Trebuchet MS" w:hAnsi="Trebuchet MS" w:cs="TimesNewRoman"/>
          <w:sz w:val="18"/>
          <w:szCs w:val="18"/>
        </w:rPr>
        <w:t xml:space="preserve"> completed an implementation project. This project demonstrated that a new description of IFRS 16 requirements would not entail significant changes in estimating the Company's existing agreements meeting the definition of a lease.</w:t>
      </w:r>
    </w:p>
    <w:p w14:paraId="7BF28FAD" w14:textId="77777777" w:rsidR="00C43206" w:rsidRPr="00C43206" w:rsidRDefault="00C43206" w:rsidP="00C43206">
      <w:pPr>
        <w:pStyle w:val="ABC-paragrahinNotes"/>
        <w:spacing w:before="240" w:after="0"/>
        <w:rPr>
          <w:rFonts w:ascii="Trebuchet MS" w:hAnsi="Trebuchet MS" w:cs="TimesNewRoman"/>
          <w:i/>
          <w:iCs/>
          <w:sz w:val="18"/>
          <w:szCs w:val="18"/>
        </w:rPr>
      </w:pPr>
      <w:r w:rsidRPr="00C43206">
        <w:rPr>
          <w:rFonts w:ascii="Trebuchet MS" w:hAnsi="Trebuchet MS" w:cs="TimesNewRoman"/>
          <w:i/>
          <w:iCs/>
          <w:sz w:val="18"/>
          <w:szCs w:val="18"/>
        </w:rPr>
        <w:t>Operating lease</w:t>
      </w:r>
    </w:p>
    <w:p w14:paraId="237ED5B6" w14:textId="77777777"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There is no longer a separation between an operating lease (off-balance-sheet accounting) and financial lease (on the balance sheet accounting) for the lessee. Instead the model is used, according to which the right-of-use asset and the corresponding liability for all lease contracts (on the balance sheet accounting for all contracts) must be recognized, except for short-term lease and lease of low-cost assets.</w:t>
      </w:r>
    </w:p>
    <w:p w14:paraId="53D97651" w14:textId="77777777"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Upon the initial application of IFRS 16 to all leases (except as noted below), the Company:</w:t>
      </w:r>
    </w:p>
    <w:p w14:paraId="589CDB0A" w14:textId="62D47591" w:rsidR="00C43206" w:rsidRPr="00C43206" w:rsidRDefault="00C43206" w:rsidP="00C43206">
      <w:pPr>
        <w:pStyle w:val="ABC-paragrahinNotes"/>
        <w:numPr>
          <w:ilvl w:val="0"/>
          <w:numId w:val="8"/>
        </w:numPr>
        <w:tabs>
          <w:tab w:val="left" w:pos="709"/>
        </w:tabs>
        <w:spacing w:before="120" w:after="120"/>
        <w:rPr>
          <w:rFonts w:ascii="Trebuchet MS" w:hAnsi="Trebuchet MS" w:cs="TimesNewRoman"/>
          <w:sz w:val="18"/>
          <w:szCs w:val="18"/>
        </w:rPr>
      </w:pPr>
      <w:r w:rsidRPr="00C43206">
        <w:rPr>
          <w:rFonts w:ascii="Trebuchet MS" w:hAnsi="Trebuchet MS" w:cs="TimesNewRoman"/>
          <w:sz w:val="18"/>
          <w:szCs w:val="18"/>
        </w:rPr>
        <w:t>Recognizes in the statement of financial position lease liabilities. Lease liabilities during the transition were initially measured at the present value of the lease payments discounted using the rate of raising additional borrowed funds at the date of initial application - 1 January 2019. Right-of-use assets were initially recognized at cost as corresponding to the lease liability since the Group used a simplified approach for contracts previously classified as operating leases.</w:t>
      </w:r>
    </w:p>
    <w:p w14:paraId="148BF1C4" w14:textId="3DB03A66" w:rsidR="00C43206" w:rsidRPr="00C43206" w:rsidRDefault="00C43206" w:rsidP="00C43206">
      <w:pPr>
        <w:pStyle w:val="ABC-paragrahinNotes"/>
        <w:numPr>
          <w:ilvl w:val="0"/>
          <w:numId w:val="8"/>
        </w:numPr>
        <w:spacing w:before="120" w:after="120"/>
        <w:rPr>
          <w:rFonts w:ascii="Trebuchet MS" w:hAnsi="Trebuchet MS" w:cs="TimesNewRoman"/>
          <w:sz w:val="18"/>
          <w:szCs w:val="18"/>
        </w:rPr>
      </w:pPr>
      <w:r w:rsidRPr="00C43206">
        <w:rPr>
          <w:rFonts w:ascii="Trebuchet MS" w:hAnsi="Trebuchet MS" w:cs="TimesNewRoman"/>
          <w:sz w:val="18"/>
          <w:szCs w:val="18"/>
        </w:rPr>
        <w:t>Recognises in the statement of profit and loss the amortisation of right-of-use assets as depreciation and amortization expenses within expenses of the period and interest on lease liabilities in Finance Costs;</w:t>
      </w:r>
    </w:p>
    <w:p w14:paraId="57C6AB97" w14:textId="24AB4946" w:rsidR="00C43206" w:rsidRPr="00C43206" w:rsidRDefault="00C43206" w:rsidP="00C43206">
      <w:pPr>
        <w:pStyle w:val="ABC-paragrahinNotes"/>
        <w:numPr>
          <w:ilvl w:val="0"/>
          <w:numId w:val="8"/>
        </w:numPr>
        <w:spacing w:before="120" w:after="120"/>
        <w:rPr>
          <w:rFonts w:ascii="Trebuchet MS" w:hAnsi="Trebuchet MS" w:cs="TimesNewRoman"/>
          <w:sz w:val="18"/>
          <w:szCs w:val="18"/>
        </w:rPr>
      </w:pPr>
      <w:r w:rsidRPr="00C43206">
        <w:rPr>
          <w:rFonts w:ascii="Trebuchet MS" w:hAnsi="Trebuchet MS" w:cs="TimesNewRoman"/>
          <w:sz w:val="18"/>
          <w:szCs w:val="18"/>
        </w:rPr>
        <w:t>Separates in the statement of cash flows the total amount of cash spent to repay the principal amount (reported in financing activities) and interest (reported in operating activities).</w:t>
      </w:r>
    </w:p>
    <w:p w14:paraId="7BB1B351" w14:textId="77777777"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According to IFRS 16, testing of the right-of-use assets for impairment is carried out under IAS 36 Impairment of Assets. This provision has replaced the previous requirement regarding the recognition of a provision for loss-making leases.</w:t>
      </w:r>
    </w:p>
    <w:p w14:paraId="6B39271B" w14:textId="77777777" w:rsidR="00C43206" w:rsidRP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 xml:space="preserve">For short-term leases (up to 12 months) and leases of low-value assets, the Company recognized lease expenses evenly, as permitted by IFRS 16. </w:t>
      </w:r>
    </w:p>
    <w:p w14:paraId="35EF8D77" w14:textId="0A9E1A3E" w:rsidR="00C43206" w:rsidRDefault="00C43206" w:rsidP="00C43206">
      <w:pPr>
        <w:pStyle w:val="ABC-paragrahinNotes"/>
        <w:spacing w:before="120" w:after="120"/>
        <w:rPr>
          <w:rFonts w:ascii="Trebuchet MS" w:hAnsi="Trebuchet MS" w:cs="TimesNewRoman"/>
          <w:sz w:val="18"/>
          <w:szCs w:val="18"/>
        </w:rPr>
      </w:pPr>
      <w:r w:rsidRPr="00C43206">
        <w:rPr>
          <w:rFonts w:ascii="Trebuchet MS" w:hAnsi="Trebuchet MS" w:cs="TimesNewRoman"/>
          <w:sz w:val="18"/>
          <w:szCs w:val="18"/>
        </w:rPr>
        <w:t>Incentives (for example, a free (grace) period) are recognized as part of the right-of-use assets measurement and lease liabilities, while under IAS 17 they are recognized as lease income, amortized as a reduction in lease costs on a straight-line basis.</w:t>
      </w:r>
    </w:p>
    <w:p w14:paraId="455C4A38" w14:textId="77777777" w:rsidR="00C43206" w:rsidRPr="00C43206" w:rsidRDefault="00C43206" w:rsidP="00C43206">
      <w:pPr>
        <w:pStyle w:val="ABC-paragrahinNotes"/>
        <w:spacing w:before="240" w:after="0"/>
        <w:rPr>
          <w:rFonts w:ascii="Trebuchet MS" w:hAnsi="Trebuchet MS" w:cs="TimesNewRoman"/>
          <w:i/>
          <w:iCs/>
          <w:sz w:val="18"/>
          <w:szCs w:val="18"/>
        </w:rPr>
      </w:pPr>
      <w:r w:rsidRPr="00C43206">
        <w:rPr>
          <w:rFonts w:ascii="Trebuchet MS" w:hAnsi="Trebuchet MS" w:cs="TimesNewRoman"/>
          <w:i/>
          <w:iCs/>
          <w:sz w:val="18"/>
          <w:szCs w:val="18"/>
        </w:rPr>
        <w:t xml:space="preserve">Effect of Adoption of IFRS 16 </w:t>
      </w:r>
    </w:p>
    <w:p w14:paraId="4184EE3D" w14:textId="5D5ECEF2" w:rsidR="00F23A48" w:rsidRPr="00F23A48" w:rsidRDefault="00F23A48" w:rsidP="00C43206">
      <w:pPr>
        <w:pStyle w:val="ABC-paragrahinNotes"/>
        <w:spacing w:before="120" w:after="120"/>
        <w:rPr>
          <w:rFonts w:ascii="Trebuchet MS" w:hAnsi="Trebuchet MS" w:cs="TimesNewRoman"/>
          <w:sz w:val="18"/>
          <w:szCs w:val="18"/>
        </w:rPr>
      </w:pPr>
      <w:r w:rsidRPr="00F23A48">
        <w:rPr>
          <w:rFonts w:ascii="Trebuchet MS" w:hAnsi="Trebuchet MS" w:cs="TimesNewRoman"/>
          <w:sz w:val="18"/>
          <w:szCs w:val="18"/>
        </w:rPr>
        <w:t>The Company has applied IFRS 16 using a modified retrospective approach of the standard with an initial application date of 1 January 2019. Under this approach, the cumulative effect of initial application of IFRS 16 is recognized as an adjustment to equity at the date of initial application.</w:t>
      </w:r>
    </w:p>
    <w:p w14:paraId="5C8B18E7" w14:textId="77777777" w:rsidR="00F23A48" w:rsidRPr="00F23A48" w:rsidRDefault="00F23A48" w:rsidP="00F23A48">
      <w:pPr>
        <w:pStyle w:val="ABC-paragrahinNotes"/>
        <w:spacing w:before="120" w:after="120"/>
        <w:rPr>
          <w:rFonts w:ascii="Trebuchet MS" w:hAnsi="Trebuchet MS" w:cs="TimesNewRoman"/>
          <w:sz w:val="18"/>
          <w:szCs w:val="18"/>
        </w:rPr>
      </w:pPr>
      <w:r w:rsidRPr="00F23A48">
        <w:rPr>
          <w:rFonts w:ascii="Trebuchet MS" w:hAnsi="Trebuchet MS" w:cs="TimesNewRoman"/>
          <w:sz w:val="18"/>
          <w:szCs w:val="18"/>
        </w:rPr>
        <w:t xml:space="preserve">Following the adoption of IFRS 16, the Company has adopted a uniform accounting and measurement approach for all leases for which it is a lessee, recognition exemptions for leases that have a lease term of </w:t>
      </w:r>
      <w:r w:rsidRPr="00F23A48">
        <w:rPr>
          <w:rFonts w:ascii="Trebuchet MS" w:hAnsi="Trebuchet MS" w:cs="TimesNewRoman"/>
          <w:sz w:val="18"/>
          <w:szCs w:val="18"/>
        </w:rPr>
        <w:lastRenderedPageBreak/>
        <w:t>12 months or less at the commencement date and do not contain a call option (short-term leases) and leases for which the underlying asset is of low value (assets with a low value).</w:t>
      </w:r>
    </w:p>
    <w:p w14:paraId="1BE51353" w14:textId="0156B4DE" w:rsidR="002E77BF" w:rsidRPr="002E77BF" w:rsidRDefault="00F23A48" w:rsidP="00F23A48">
      <w:pPr>
        <w:pStyle w:val="ABC-paragrahinNotes"/>
        <w:spacing w:before="120" w:after="120"/>
        <w:rPr>
          <w:rFonts w:ascii="Trebuchet MS" w:hAnsi="Trebuchet MS" w:cs="TimesNewRoman"/>
          <w:sz w:val="18"/>
          <w:szCs w:val="18"/>
        </w:rPr>
      </w:pPr>
      <w:r w:rsidRPr="00F23A48">
        <w:rPr>
          <w:rFonts w:ascii="Trebuchet MS" w:hAnsi="Trebuchet MS" w:cs="TimesNewRoman"/>
          <w:sz w:val="18"/>
          <w:szCs w:val="18"/>
        </w:rPr>
        <w:t xml:space="preserve">As </w:t>
      </w:r>
      <w:r w:rsidR="000356D5">
        <w:rPr>
          <w:rFonts w:ascii="Trebuchet MS" w:hAnsi="Trebuchet MS" w:cs="TimesNewRoman"/>
          <w:sz w:val="18"/>
          <w:szCs w:val="18"/>
        </w:rPr>
        <w:t>a</w:t>
      </w:r>
      <w:r w:rsidR="00C43206">
        <w:rPr>
          <w:rFonts w:ascii="Trebuchet MS" w:hAnsi="Trebuchet MS" w:cs="TimesNewRoman"/>
          <w:sz w:val="18"/>
          <w:szCs w:val="18"/>
        </w:rPr>
        <w:t>t 31</w:t>
      </w:r>
      <w:r w:rsidRPr="00F23A48">
        <w:rPr>
          <w:rFonts w:ascii="Trebuchet MS" w:hAnsi="Trebuchet MS" w:cs="TimesNewRoman"/>
          <w:sz w:val="18"/>
          <w:szCs w:val="18"/>
        </w:rPr>
        <w:t xml:space="preserve"> December 2019, the application of IFRS 16 had impact on the Company's financial statements.</w:t>
      </w:r>
    </w:p>
    <w:p w14:paraId="4A3CCC1C" w14:textId="77777777" w:rsidR="009B4E1C" w:rsidRPr="009B4E1C" w:rsidRDefault="009B4E1C" w:rsidP="009B4E1C">
      <w:pPr>
        <w:pStyle w:val="ABC-paragrahinNotes"/>
        <w:spacing w:before="240" w:after="0"/>
        <w:rPr>
          <w:rFonts w:ascii="Trebuchet MS" w:hAnsi="Trebuchet MS" w:cs="TimesNewRoman"/>
          <w:i/>
          <w:iCs/>
          <w:sz w:val="18"/>
          <w:szCs w:val="18"/>
        </w:rPr>
      </w:pPr>
      <w:r w:rsidRPr="009B4E1C">
        <w:rPr>
          <w:rFonts w:ascii="Trebuchet MS" w:hAnsi="Trebuchet MS" w:cs="TimesNewRoman"/>
          <w:i/>
          <w:iCs/>
          <w:sz w:val="18"/>
          <w:szCs w:val="18"/>
        </w:rPr>
        <w:t>Annual Improvements to IFRS, 2015–2017 cycle. IFRS 3 Business Combinations, IFRS 11 Joint Arrangements, IAS 12 Income Taxes, IAS 23 Borrowing Costs</w:t>
      </w:r>
    </w:p>
    <w:p w14:paraId="196F18BA" w14:textId="2CA4B243" w:rsidR="009B4E1C" w:rsidRDefault="009B4E1C" w:rsidP="009B4E1C">
      <w:pPr>
        <w:pStyle w:val="ABC-paragrahinNotes"/>
        <w:spacing w:before="120" w:after="120"/>
        <w:rPr>
          <w:rFonts w:ascii="Trebuchet MS" w:hAnsi="Trebuchet MS" w:cs="TimesNewRoman"/>
          <w:sz w:val="18"/>
          <w:szCs w:val="18"/>
        </w:rPr>
      </w:pPr>
      <w:r w:rsidRPr="009B4E1C">
        <w:rPr>
          <w:rFonts w:ascii="Trebuchet MS" w:hAnsi="Trebuchet MS" w:cs="TimesNewRoman"/>
          <w:sz w:val="18"/>
          <w:szCs w:val="18"/>
        </w:rPr>
        <w:t>In the current year, the Company for the first time applied the amendments included in the Annual Improvements to IFRS for 2015-2017. Annual improvements include amendments to the following four standards:</w:t>
      </w:r>
    </w:p>
    <w:p w14:paraId="56146725" w14:textId="77777777" w:rsidR="009B4E1C" w:rsidRPr="009B4E1C" w:rsidRDefault="009B4E1C" w:rsidP="009B4E1C">
      <w:pPr>
        <w:pStyle w:val="ABC-paragrahinNotes"/>
        <w:numPr>
          <w:ilvl w:val="0"/>
          <w:numId w:val="10"/>
        </w:numPr>
        <w:spacing w:before="120" w:after="120"/>
        <w:rPr>
          <w:rFonts w:ascii="Trebuchet MS" w:hAnsi="Trebuchet MS" w:cs="TimesNewRoman"/>
          <w:sz w:val="18"/>
          <w:szCs w:val="18"/>
        </w:rPr>
      </w:pPr>
      <w:r w:rsidRPr="009B4E1C">
        <w:rPr>
          <w:rFonts w:ascii="Trebuchet MS" w:hAnsi="Trebuchet MS" w:cs="TimesNewRoman"/>
          <w:sz w:val="18"/>
          <w:szCs w:val="18"/>
        </w:rPr>
        <w:t>IAS 12 Income Taxes</w:t>
      </w:r>
    </w:p>
    <w:p w14:paraId="67C5CC88" w14:textId="60C64B53" w:rsidR="009B4E1C" w:rsidRDefault="009B4E1C" w:rsidP="009B4E1C">
      <w:pPr>
        <w:pStyle w:val="ABC-paragrahinNotes"/>
        <w:spacing w:before="120" w:after="120"/>
        <w:rPr>
          <w:rFonts w:ascii="Trebuchet MS" w:hAnsi="Trebuchet MS" w:cs="TimesNewRoman"/>
          <w:sz w:val="18"/>
          <w:szCs w:val="18"/>
        </w:rPr>
      </w:pPr>
      <w:r w:rsidRPr="009B4E1C">
        <w:rPr>
          <w:rFonts w:ascii="Trebuchet MS" w:hAnsi="Trebuchet MS" w:cs="TimesNewRoman"/>
          <w:sz w:val="18"/>
          <w:szCs w:val="18"/>
        </w:rPr>
        <w:t>The amendments clarify that an entity should recognise the income tax consequences of dividends in profit or loss, other comprehensive income or equity according to where the entity originally recognised the transactions that generated the distributable profits. This is the case irrespective of whether different tax rates apply to distributed and undistributed profits.</w:t>
      </w:r>
    </w:p>
    <w:p w14:paraId="6F757554" w14:textId="77777777" w:rsidR="009B4E1C" w:rsidRPr="009B4E1C" w:rsidRDefault="009B4E1C" w:rsidP="009B4E1C">
      <w:pPr>
        <w:pStyle w:val="ABC-paragrahinNotes"/>
        <w:numPr>
          <w:ilvl w:val="0"/>
          <w:numId w:val="10"/>
        </w:numPr>
        <w:spacing w:before="120" w:after="120"/>
        <w:rPr>
          <w:rFonts w:ascii="Trebuchet MS" w:hAnsi="Trebuchet MS" w:cs="TimesNewRoman"/>
          <w:sz w:val="18"/>
          <w:szCs w:val="18"/>
        </w:rPr>
      </w:pPr>
      <w:r w:rsidRPr="009B4E1C">
        <w:rPr>
          <w:rFonts w:ascii="Trebuchet MS" w:hAnsi="Trebuchet MS" w:cs="TimesNewRoman"/>
          <w:sz w:val="18"/>
          <w:szCs w:val="18"/>
        </w:rPr>
        <w:t>IAS 23 Borrowing Costs</w:t>
      </w:r>
    </w:p>
    <w:p w14:paraId="0822F781"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The amendments to IAS 23 clarify that if any specific borrowing remains outstanding after the related asset is ready for its intended use or sale, that borrowing becomes part of the funds that an entity borrows generally when calculating the capitalisation rate on general borrowings.</w:t>
      </w:r>
    </w:p>
    <w:p w14:paraId="407DCE21" w14:textId="77777777" w:rsidR="009B4E1C" w:rsidRPr="009B4E1C" w:rsidRDefault="009B4E1C" w:rsidP="009B4E1C">
      <w:pPr>
        <w:pStyle w:val="ListParagraph"/>
        <w:numPr>
          <w:ilvl w:val="0"/>
          <w:numId w:val="9"/>
        </w:numPr>
        <w:autoSpaceDE w:val="0"/>
        <w:autoSpaceDN w:val="0"/>
        <w:adjustRightInd w:val="0"/>
        <w:spacing w:before="120" w:after="120"/>
        <w:ind w:right="-20"/>
        <w:jc w:val="both"/>
        <w:rPr>
          <w:sz w:val="18"/>
          <w:szCs w:val="18"/>
        </w:rPr>
      </w:pPr>
      <w:r w:rsidRPr="009B4E1C">
        <w:rPr>
          <w:sz w:val="18"/>
          <w:szCs w:val="18"/>
        </w:rPr>
        <w:t>IFRS 3 Business Combinations</w:t>
      </w:r>
    </w:p>
    <w:p w14:paraId="35599FA8"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The amendments to IFRS 3 clarify that when an entity obtains control of a business that is a joint operation, the entity applies the requirements for a business combination achieved in stages, including remeasuring its previously held interest in the joint operation at fair value. The previously held interest to be re-measured includes any unrecognised assets, liabilities and goodwill relating to the joint operation.</w:t>
      </w:r>
    </w:p>
    <w:p w14:paraId="4A4EB770" w14:textId="77777777" w:rsidR="009B4E1C" w:rsidRPr="009B4E1C" w:rsidRDefault="009B4E1C" w:rsidP="009B4E1C">
      <w:pPr>
        <w:pStyle w:val="ListParagraph"/>
        <w:numPr>
          <w:ilvl w:val="0"/>
          <w:numId w:val="9"/>
        </w:numPr>
        <w:autoSpaceDE w:val="0"/>
        <w:autoSpaceDN w:val="0"/>
        <w:adjustRightInd w:val="0"/>
        <w:spacing w:before="120" w:after="120"/>
        <w:ind w:right="-20"/>
        <w:jc w:val="both"/>
        <w:rPr>
          <w:sz w:val="18"/>
          <w:szCs w:val="18"/>
        </w:rPr>
      </w:pPr>
      <w:r w:rsidRPr="009B4E1C">
        <w:rPr>
          <w:sz w:val="18"/>
          <w:szCs w:val="18"/>
        </w:rPr>
        <w:t>IFRS 11 Joint Arrangements</w:t>
      </w:r>
    </w:p>
    <w:p w14:paraId="48E0217F"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The amendments to IFRS 11 clarify that when a party that participates in but does not have joint control of a joint operation that is a business obtains joint control of such a joint operation, the entity does not re-measure its previously held interest in the joint operation.</w:t>
      </w:r>
    </w:p>
    <w:p w14:paraId="5971EEDC" w14:textId="77777777" w:rsidR="009B4E1C" w:rsidRPr="009B4E1C" w:rsidRDefault="009B4E1C" w:rsidP="009B4E1C">
      <w:pPr>
        <w:pStyle w:val="ListParagraph"/>
        <w:numPr>
          <w:ilvl w:val="0"/>
          <w:numId w:val="9"/>
        </w:numPr>
        <w:autoSpaceDE w:val="0"/>
        <w:autoSpaceDN w:val="0"/>
        <w:adjustRightInd w:val="0"/>
        <w:spacing w:before="120" w:after="120"/>
        <w:ind w:right="-20"/>
        <w:jc w:val="both"/>
        <w:rPr>
          <w:sz w:val="18"/>
          <w:szCs w:val="18"/>
        </w:rPr>
      </w:pPr>
      <w:r w:rsidRPr="009B4E1C">
        <w:rPr>
          <w:sz w:val="18"/>
          <w:szCs w:val="18"/>
        </w:rPr>
        <w:t>IFRIC Interpretation 23 Uncertainty over Income Tax Treatments</w:t>
      </w:r>
    </w:p>
    <w:p w14:paraId="02E55314"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IFRIC 23 clarifies how to account for income tax when there is uncertainty over income tax treatments. The Interpretation requires an entity to:</w:t>
      </w:r>
    </w:p>
    <w:p w14:paraId="32B0E1FC"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w:t>
      </w:r>
      <w:r w:rsidRPr="009B4E1C">
        <w:rPr>
          <w:sz w:val="18"/>
          <w:szCs w:val="18"/>
        </w:rPr>
        <w:tab/>
        <w:t>Determine whether it is necessary to assess each uncertain tax position individually or together with other uncertain tax positions;</w:t>
      </w:r>
    </w:p>
    <w:p w14:paraId="46DA5179"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 xml:space="preserve">• Assess whether it is probable that a tax authority will accept an uncertain tax treatment </w:t>
      </w:r>
      <w:r w:rsidRPr="009B4E1C">
        <w:rPr>
          <w:sz w:val="18"/>
          <w:szCs w:val="18"/>
        </w:rPr>
        <w:br/>
        <w:t>used, or proposed to be used, by an entity in its income tax filings:</w:t>
      </w:r>
    </w:p>
    <w:p w14:paraId="40746008"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     If yes, the entity should determine its accounting tax position consistently with the tax treatment used or planned to be used in its income tax filings.</w:t>
      </w:r>
    </w:p>
    <w:p w14:paraId="4B94DAE9" w14:textId="77777777" w:rsidR="009B4E1C" w:rsidRPr="009B4E1C" w:rsidRDefault="009B4E1C" w:rsidP="009B4E1C">
      <w:pPr>
        <w:autoSpaceDE w:val="0"/>
        <w:autoSpaceDN w:val="0"/>
        <w:spacing w:before="120" w:after="120"/>
        <w:ind w:right="-20"/>
        <w:jc w:val="both"/>
        <w:rPr>
          <w:sz w:val="18"/>
          <w:szCs w:val="18"/>
        </w:rPr>
      </w:pPr>
      <w:r w:rsidRPr="009B4E1C">
        <w:rPr>
          <w:sz w:val="18"/>
          <w:szCs w:val="18"/>
        </w:rPr>
        <w:t>•      If no, the entity should reflect the effect of uncertainty in determining its accounting tax position.</w:t>
      </w:r>
    </w:p>
    <w:p w14:paraId="289F0BD7" w14:textId="09C71F7B" w:rsidR="009B4E1C" w:rsidRPr="009B4E1C" w:rsidRDefault="009B4E1C" w:rsidP="009B4E1C">
      <w:pPr>
        <w:autoSpaceDE w:val="0"/>
        <w:autoSpaceDN w:val="0"/>
        <w:spacing w:before="120" w:after="120"/>
        <w:ind w:right="-20"/>
        <w:jc w:val="both"/>
        <w:rPr>
          <w:sz w:val="18"/>
          <w:szCs w:val="18"/>
        </w:rPr>
      </w:pPr>
      <w:r w:rsidRPr="009B4E1C">
        <w:rPr>
          <w:sz w:val="18"/>
          <w:szCs w:val="18"/>
        </w:rPr>
        <w:t xml:space="preserve">These amendments have no significant impact on the </w:t>
      </w:r>
      <w:r>
        <w:rPr>
          <w:sz w:val="18"/>
          <w:szCs w:val="18"/>
        </w:rPr>
        <w:t>Company</w:t>
      </w:r>
      <w:r w:rsidRPr="009B4E1C">
        <w:rPr>
          <w:sz w:val="18"/>
          <w:szCs w:val="18"/>
        </w:rPr>
        <w:t>’s financial statements.</w:t>
      </w:r>
    </w:p>
    <w:p w14:paraId="6A136416" w14:textId="77777777" w:rsidR="009B4E1C" w:rsidRPr="009B4E1C" w:rsidRDefault="009B4E1C" w:rsidP="009B4E1C">
      <w:pPr>
        <w:pStyle w:val="ABC-paragrahinNotes"/>
        <w:numPr>
          <w:ilvl w:val="0"/>
          <w:numId w:val="5"/>
        </w:numPr>
        <w:spacing w:before="240" w:after="120"/>
        <w:ind w:left="567" w:hanging="567"/>
        <w:rPr>
          <w:rFonts w:ascii="Trebuchet MS" w:hAnsi="Trebuchet MS" w:cs="TimesNewRoman"/>
          <w:i/>
          <w:iCs/>
          <w:sz w:val="18"/>
          <w:szCs w:val="18"/>
        </w:rPr>
      </w:pPr>
      <w:r w:rsidRPr="009B4E1C">
        <w:rPr>
          <w:rFonts w:ascii="Trebuchet MS" w:hAnsi="Trebuchet MS" w:cs="TimesNewRoman"/>
          <w:i/>
          <w:iCs/>
          <w:sz w:val="18"/>
          <w:szCs w:val="18"/>
        </w:rPr>
        <w:t>Standards and interpretations issued but not yet effective</w:t>
      </w:r>
    </w:p>
    <w:p w14:paraId="04F383B0" w14:textId="45F4F0CA" w:rsidR="009B4E1C" w:rsidRPr="009B4E1C" w:rsidRDefault="009B4E1C" w:rsidP="009B4E1C">
      <w:pPr>
        <w:autoSpaceDE w:val="0"/>
        <w:autoSpaceDN w:val="0"/>
        <w:spacing w:before="120" w:after="120"/>
        <w:ind w:right="-20"/>
        <w:jc w:val="both"/>
        <w:rPr>
          <w:sz w:val="18"/>
          <w:szCs w:val="18"/>
        </w:rPr>
      </w:pPr>
      <w:r w:rsidRPr="009B4E1C">
        <w:rPr>
          <w:sz w:val="18"/>
          <w:szCs w:val="18"/>
        </w:rPr>
        <w:t>There are several standards, amendments and interpretations that have been issued but not yet effective as of 31 December 201</w:t>
      </w:r>
      <w:r>
        <w:rPr>
          <w:sz w:val="18"/>
          <w:szCs w:val="18"/>
        </w:rPr>
        <w:t>9</w:t>
      </w:r>
      <w:r w:rsidRPr="009B4E1C">
        <w:rPr>
          <w:sz w:val="18"/>
          <w:szCs w:val="18"/>
        </w:rPr>
        <w:t xml:space="preserve"> and were not used during the preparation of these financial statements. The Company plans to apply the standards, amendments and interpretations since they become effective:</w:t>
      </w:r>
    </w:p>
    <w:p w14:paraId="0D0FB116" w14:textId="69416DD7" w:rsidR="009B4E1C" w:rsidRPr="009B4E1C" w:rsidRDefault="009B4E1C" w:rsidP="009B4E1C">
      <w:pPr>
        <w:pStyle w:val="ListParagraph"/>
        <w:numPr>
          <w:ilvl w:val="0"/>
          <w:numId w:val="10"/>
        </w:numPr>
        <w:autoSpaceDE w:val="0"/>
        <w:autoSpaceDN w:val="0"/>
        <w:spacing w:before="120" w:after="120"/>
        <w:ind w:left="714" w:right="-23" w:hanging="357"/>
        <w:contextualSpacing w:val="0"/>
        <w:jc w:val="both"/>
        <w:rPr>
          <w:sz w:val="18"/>
          <w:szCs w:val="18"/>
        </w:rPr>
      </w:pPr>
      <w:r w:rsidRPr="009B4E1C">
        <w:rPr>
          <w:sz w:val="18"/>
          <w:szCs w:val="18"/>
        </w:rPr>
        <w:t>IFRS 17 Insurance Contracts</w:t>
      </w:r>
    </w:p>
    <w:p w14:paraId="2E094AAC" w14:textId="3FE4BE21" w:rsidR="009B4E1C" w:rsidRPr="009B4E1C" w:rsidRDefault="009B4E1C" w:rsidP="009B4E1C">
      <w:pPr>
        <w:pStyle w:val="ListParagraph"/>
        <w:numPr>
          <w:ilvl w:val="0"/>
          <w:numId w:val="10"/>
        </w:numPr>
        <w:autoSpaceDE w:val="0"/>
        <w:autoSpaceDN w:val="0"/>
        <w:spacing w:before="120" w:after="120"/>
        <w:ind w:left="714" w:right="-23" w:hanging="357"/>
        <w:contextualSpacing w:val="0"/>
        <w:jc w:val="both"/>
        <w:rPr>
          <w:sz w:val="18"/>
          <w:szCs w:val="18"/>
        </w:rPr>
      </w:pPr>
      <w:r w:rsidRPr="009B4E1C">
        <w:rPr>
          <w:sz w:val="18"/>
          <w:szCs w:val="18"/>
        </w:rPr>
        <w:t>IFRS 10 Consolidated Financial Statements and IAS 28 (Amendments) Sale or Contribution of Assets between an Investor and its Associate or Joint Venture</w:t>
      </w:r>
    </w:p>
    <w:p w14:paraId="35826C5F" w14:textId="67A5452A" w:rsidR="009B4E1C" w:rsidRPr="009B4E1C" w:rsidRDefault="009B4E1C" w:rsidP="009B4E1C">
      <w:pPr>
        <w:pStyle w:val="ListParagraph"/>
        <w:numPr>
          <w:ilvl w:val="0"/>
          <w:numId w:val="10"/>
        </w:numPr>
        <w:autoSpaceDE w:val="0"/>
        <w:autoSpaceDN w:val="0"/>
        <w:spacing w:before="120" w:after="120"/>
        <w:ind w:left="714" w:right="-23" w:hanging="357"/>
        <w:contextualSpacing w:val="0"/>
        <w:jc w:val="both"/>
        <w:rPr>
          <w:sz w:val="18"/>
          <w:szCs w:val="18"/>
        </w:rPr>
      </w:pPr>
      <w:r w:rsidRPr="009B4E1C">
        <w:rPr>
          <w:sz w:val="18"/>
          <w:szCs w:val="18"/>
        </w:rPr>
        <w:t>Amendments to IFRS 3</w:t>
      </w:r>
    </w:p>
    <w:p w14:paraId="678441B7" w14:textId="4D9EEBAB" w:rsidR="009B4E1C" w:rsidRPr="009B4E1C" w:rsidRDefault="009B4E1C" w:rsidP="009B4E1C">
      <w:pPr>
        <w:pStyle w:val="ListParagraph"/>
        <w:numPr>
          <w:ilvl w:val="0"/>
          <w:numId w:val="10"/>
        </w:numPr>
        <w:autoSpaceDE w:val="0"/>
        <w:autoSpaceDN w:val="0"/>
        <w:spacing w:before="120" w:after="120"/>
        <w:ind w:left="714" w:right="-23" w:hanging="357"/>
        <w:contextualSpacing w:val="0"/>
        <w:jc w:val="both"/>
        <w:rPr>
          <w:sz w:val="18"/>
          <w:szCs w:val="18"/>
        </w:rPr>
      </w:pPr>
      <w:r w:rsidRPr="009B4E1C">
        <w:rPr>
          <w:sz w:val="18"/>
          <w:szCs w:val="18"/>
        </w:rPr>
        <w:t>Amendments to IAS 1 and IAS 8</w:t>
      </w:r>
    </w:p>
    <w:p w14:paraId="57D9F514" w14:textId="0D37736E" w:rsidR="009B4E1C" w:rsidRPr="009B4E1C" w:rsidRDefault="009B4E1C" w:rsidP="009B4E1C">
      <w:pPr>
        <w:pStyle w:val="ListParagraph"/>
        <w:numPr>
          <w:ilvl w:val="0"/>
          <w:numId w:val="10"/>
        </w:numPr>
        <w:autoSpaceDE w:val="0"/>
        <w:autoSpaceDN w:val="0"/>
        <w:spacing w:before="120" w:after="120"/>
        <w:ind w:left="714" w:right="-23" w:hanging="357"/>
        <w:contextualSpacing w:val="0"/>
        <w:jc w:val="both"/>
        <w:rPr>
          <w:sz w:val="18"/>
          <w:szCs w:val="18"/>
        </w:rPr>
      </w:pPr>
      <w:r w:rsidRPr="009B4E1C">
        <w:rPr>
          <w:sz w:val="18"/>
          <w:szCs w:val="18"/>
        </w:rPr>
        <w:t>Conceptual framework.</w:t>
      </w:r>
    </w:p>
    <w:p w14:paraId="5D7921EA" w14:textId="77777777" w:rsidR="007B12E3" w:rsidRDefault="007B12E3" w:rsidP="005168A2">
      <w:pPr>
        <w:autoSpaceDE w:val="0"/>
        <w:autoSpaceDN w:val="0"/>
        <w:spacing w:before="240" w:after="120"/>
        <w:ind w:right="-23"/>
        <w:jc w:val="both"/>
        <w:rPr>
          <w:i/>
          <w:iCs/>
          <w:sz w:val="18"/>
          <w:szCs w:val="18"/>
        </w:rPr>
      </w:pPr>
    </w:p>
    <w:p w14:paraId="5F9BD3CF" w14:textId="4453C9FF" w:rsidR="009B4E1C" w:rsidRPr="009B4E1C" w:rsidRDefault="009B4E1C" w:rsidP="005168A2">
      <w:pPr>
        <w:autoSpaceDE w:val="0"/>
        <w:autoSpaceDN w:val="0"/>
        <w:spacing w:before="240" w:after="120"/>
        <w:ind w:right="-23"/>
        <w:jc w:val="both"/>
        <w:rPr>
          <w:i/>
          <w:iCs/>
          <w:sz w:val="18"/>
          <w:szCs w:val="18"/>
        </w:rPr>
      </w:pPr>
      <w:r w:rsidRPr="009B4E1C">
        <w:rPr>
          <w:i/>
          <w:iCs/>
          <w:sz w:val="18"/>
          <w:szCs w:val="18"/>
        </w:rPr>
        <w:lastRenderedPageBreak/>
        <w:t>IFRS 17 Insurance Contracts</w:t>
      </w:r>
    </w:p>
    <w:p w14:paraId="78199A57" w14:textId="77777777" w:rsidR="009B4E1C" w:rsidRPr="009B4E1C" w:rsidRDefault="009B4E1C" w:rsidP="009B4E1C">
      <w:pPr>
        <w:autoSpaceDE w:val="0"/>
        <w:autoSpaceDN w:val="0"/>
        <w:spacing w:before="120" w:after="120"/>
        <w:ind w:right="-23"/>
        <w:jc w:val="both"/>
        <w:rPr>
          <w:sz w:val="18"/>
          <w:szCs w:val="18"/>
        </w:rPr>
      </w:pPr>
      <w:r w:rsidRPr="009B4E1C">
        <w:rPr>
          <w:sz w:val="18"/>
          <w:szCs w:val="18"/>
        </w:rPr>
        <w:t>The new Standard establishes principles for the recognition, measurement, presentation and disclosure of information related to insurance contracts and supersedes IFRS 4 Insurance Contracts.</w:t>
      </w:r>
    </w:p>
    <w:p w14:paraId="0942FC43" w14:textId="77777777" w:rsidR="009B4E1C" w:rsidRPr="009B4E1C" w:rsidRDefault="009B4E1C" w:rsidP="009B4E1C">
      <w:pPr>
        <w:autoSpaceDE w:val="0"/>
        <w:autoSpaceDN w:val="0"/>
        <w:spacing w:before="120" w:after="120"/>
        <w:ind w:right="-23"/>
        <w:jc w:val="both"/>
        <w:rPr>
          <w:sz w:val="18"/>
          <w:szCs w:val="18"/>
        </w:rPr>
      </w:pPr>
      <w:r w:rsidRPr="009B4E1C">
        <w:rPr>
          <w:sz w:val="18"/>
          <w:szCs w:val="18"/>
        </w:rPr>
        <w:t>IFRS 17 outlines a General Model, which is modified for insurance contracts with direct participation features and described as the Variable Fee Approach. The General Model is simplified if certain criteria are met by measuring the liability for remaining coverage using the Premium Allocation Approach.</w:t>
      </w:r>
    </w:p>
    <w:p w14:paraId="632E91FB" w14:textId="77777777" w:rsidR="009B4E1C" w:rsidRPr="009B4E1C" w:rsidRDefault="009B4E1C" w:rsidP="009B4E1C">
      <w:pPr>
        <w:spacing w:before="120" w:after="120"/>
        <w:jc w:val="both"/>
        <w:rPr>
          <w:sz w:val="18"/>
          <w:szCs w:val="18"/>
        </w:rPr>
      </w:pPr>
      <w:r w:rsidRPr="009B4E1C">
        <w:rPr>
          <w:sz w:val="18"/>
          <w:szCs w:val="18"/>
        </w:rPr>
        <w:t xml:space="preserve">The General Model will use current assumptions to estimate the amount, timing and uncertainty of future cash flows and it will explicitly measure the cost of that uncertainty. The model </w:t>
      </w:r>
      <w:proofErr w:type="gramStart"/>
      <w:r w:rsidRPr="009B4E1C">
        <w:rPr>
          <w:sz w:val="18"/>
          <w:szCs w:val="18"/>
        </w:rPr>
        <w:t>takes into account</w:t>
      </w:r>
      <w:proofErr w:type="gramEnd"/>
      <w:r w:rsidRPr="009B4E1C">
        <w:rPr>
          <w:sz w:val="18"/>
          <w:szCs w:val="18"/>
        </w:rPr>
        <w:t xml:space="preserve"> market interest rates and the impact of policyholders’ options and guarantees.</w:t>
      </w:r>
    </w:p>
    <w:p w14:paraId="0CA348AA" w14:textId="77777777" w:rsidR="009B4E1C" w:rsidRPr="009B4E1C" w:rsidRDefault="009B4E1C" w:rsidP="009B4E1C">
      <w:pPr>
        <w:spacing w:before="120" w:after="120"/>
        <w:jc w:val="both"/>
        <w:rPr>
          <w:sz w:val="18"/>
          <w:szCs w:val="18"/>
        </w:rPr>
      </w:pPr>
      <w:r w:rsidRPr="009B4E1C">
        <w:rPr>
          <w:sz w:val="18"/>
          <w:szCs w:val="18"/>
        </w:rPr>
        <w:t>The Standard becomes effective for annual reporting periods beginning on or after 1 January 2021; early adoption is permitted. In June 2019, the IASB published a preliminary draft amendment to IFRS 17, including the postponement of its effective date until 1 January 2022. It can be applied retrospectively excluding the cases where it is near-impossible; in these cases, the entity applies a modified retrospective approach or fair value approach.</w:t>
      </w:r>
    </w:p>
    <w:p w14:paraId="6F276C9C" w14:textId="7D5BE95A" w:rsidR="009B4E1C" w:rsidRDefault="009B4E1C" w:rsidP="009B4E1C">
      <w:pPr>
        <w:spacing w:before="120" w:after="120"/>
        <w:jc w:val="both"/>
        <w:rPr>
          <w:sz w:val="18"/>
          <w:szCs w:val="18"/>
        </w:rPr>
      </w:pPr>
      <w:r w:rsidRPr="009B4E1C">
        <w:rPr>
          <w:sz w:val="18"/>
          <w:szCs w:val="18"/>
        </w:rPr>
        <w:t>To meet the transitional requirements, the date of initial application is the beginning of the annual reporting period in which the entity first applies the standard, and the transition date is the beginning of the period immediately preceding the date of initial application.</w:t>
      </w:r>
    </w:p>
    <w:p w14:paraId="4A1411C7" w14:textId="3BCDDB2F" w:rsidR="009B4E1C" w:rsidRPr="009B4E1C" w:rsidRDefault="009B4E1C" w:rsidP="009B4E1C">
      <w:pPr>
        <w:spacing w:before="120" w:after="120"/>
        <w:jc w:val="both"/>
        <w:rPr>
          <w:sz w:val="18"/>
          <w:szCs w:val="18"/>
        </w:rPr>
      </w:pPr>
      <w:r w:rsidRPr="009B4E1C">
        <w:rPr>
          <w:sz w:val="18"/>
          <w:szCs w:val="18"/>
        </w:rPr>
        <w:t xml:space="preserve">The management of the Company expects that the application of this standard will have a significant impact on the financial statements during the period of first </w:t>
      </w:r>
      <w:proofErr w:type="gramStart"/>
      <w:r w:rsidRPr="009B4E1C">
        <w:rPr>
          <w:sz w:val="18"/>
          <w:szCs w:val="18"/>
        </w:rPr>
        <w:t>application, but</w:t>
      </w:r>
      <w:proofErr w:type="gramEnd"/>
      <w:r w:rsidRPr="009B4E1C">
        <w:rPr>
          <w:sz w:val="18"/>
          <w:szCs w:val="18"/>
        </w:rPr>
        <w:t xml:space="preserve"> has not yet performed a detailed analysis.</w:t>
      </w:r>
    </w:p>
    <w:p w14:paraId="567E881E" w14:textId="77777777" w:rsidR="009B4E1C" w:rsidRPr="009B4E1C" w:rsidRDefault="009B4E1C" w:rsidP="009B4E1C">
      <w:pPr>
        <w:autoSpaceDE w:val="0"/>
        <w:autoSpaceDN w:val="0"/>
        <w:spacing w:before="240" w:after="120"/>
        <w:ind w:right="-23"/>
        <w:jc w:val="both"/>
        <w:rPr>
          <w:i/>
          <w:iCs/>
          <w:sz w:val="18"/>
          <w:szCs w:val="18"/>
        </w:rPr>
      </w:pPr>
      <w:r w:rsidRPr="009B4E1C">
        <w:rPr>
          <w:i/>
          <w:iCs/>
          <w:sz w:val="18"/>
          <w:szCs w:val="18"/>
        </w:rPr>
        <w:t>Amendments to IFRS 10 and IAS 28 Sale or Contribution of Assets in Transactions between the Investor and its Associate or Joint Venture</w:t>
      </w:r>
    </w:p>
    <w:p w14:paraId="4F38D305" w14:textId="77777777" w:rsidR="009B4E1C" w:rsidRPr="009B4E1C" w:rsidRDefault="009B4E1C" w:rsidP="009B4E1C">
      <w:pPr>
        <w:spacing w:before="120" w:after="120"/>
        <w:jc w:val="both"/>
        <w:rPr>
          <w:sz w:val="18"/>
          <w:szCs w:val="18"/>
        </w:rPr>
      </w:pPr>
      <w:r w:rsidRPr="009B4E1C">
        <w:rPr>
          <w:sz w:val="18"/>
          <w:szCs w:val="18"/>
        </w:rPr>
        <w:t>The amendments address the conflict between IFRS 10 Consolidated Financial Statements and IAS 28 Investments in Associates and Joint Ventures in dealing with the loss of control of a subsidiary that is sold or contributed to an associate or joint venture. In particular, the amendments clarify that gain or loss due to the loss of control over a subsidiary that is not a business in a transaction with an associate or joint venture that are accounted for using the equity method are recognized in profit or loss of the parent only in for the unrelated investors in this associate or joint venture. Similarly, gain or loss on remeasurement to the fair value of the remaining interest in the former subsidiary (which has become an associate or joint venture and accounted for using the equity method) are recognized in the profit or loss of the former parent only in the share of unrelated investors in the new associate or joint venture.</w:t>
      </w:r>
    </w:p>
    <w:p w14:paraId="520444C7" w14:textId="77777777" w:rsidR="009B4E1C" w:rsidRPr="009B4E1C" w:rsidRDefault="009B4E1C" w:rsidP="009B4E1C">
      <w:pPr>
        <w:spacing w:before="120" w:after="120"/>
        <w:jc w:val="both"/>
        <w:rPr>
          <w:sz w:val="18"/>
          <w:szCs w:val="18"/>
        </w:rPr>
      </w:pPr>
      <w:r w:rsidRPr="009B4E1C">
        <w:rPr>
          <w:sz w:val="18"/>
          <w:szCs w:val="18"/>
        </w:rPr>
        <w:t>The effective date shall be determined by the IASB. Early application is permitted.</w:t>
      </w:r>
    </w:p>
    <w:p w14:paraId="08CF5798" w14:textId="77777777" w:rsidR="009B4E1C" w:rsidRPr="009B4E1C" w:rsidRDefault="009B4E1C" w:rsidP="009B4E1C">
      <w:pPr>
        <w:autoSpaceDE w:val="0"/>
        <w:autoSpaceDN w:val="0"/>
        <w:spacing w:before="240" w:after="120"/>
        <w:ind w:right="-23"/>
        <w:jc w:val="both"/>
        <w:rPr>
          <w:i/>
          <w:iCs/>
          <w:sz w:val="18"/>
          <w:szCs w:val="18"/>
        </w:rPr>
      </w:pPr>
      <w:r w:rsidRPr="009B4E1C">
        <w:rPr>
          <w:i/>
          <w:iCs/>
          <w:sz w:val="18"/>
          <w:szCs w:val="18"/>
        </w:rPr>
        <w:t>Amendments to IFRS 3 Definition of a Business</w:t>
      </w:r>
    </w:p>
    <w:p w14:paraId="156018C5" w14:textId="77777777" w:rsidR="009B4E1C" w:rsidRPr="009B4E1C" w:rsidRDefault="009B4E1C" w:rsidP="009B4E1C">
      <w:pPr>
        <w:spacing w:before="120" w:after="120"/>
        <w:jc w:val="both"/>
        <w:rPr>
          <w:sz w:val="18"/>
          <w:szCs w:val="18"/>
        </w:rPr>
      </w:pPr>
      <w:r w:rsidRPr="009B4E1C">
        <w:rPr>
          <w:sz w:val="18"/>
          <w:szCs w:val="18"/>
        </w:rPr>
        <w:t xml:space="preserve">The amendments clarify that to be considered a business, an integrated set of activities and assets must include, at a minimum, an input and a substantive process that together significantly contribute to the ability to create output. They also clarify that a business can exist without including </w:t>
      </w:r>
      <w:proofErr w:type="gramStart"/>
      <w:r w:rsidRPr="009B4E1C">
        <w:rPr>
          <w:sz w:val="18"/>
          <w:szCs w:val="18"/>
        </w:rPr>
        <w:t>all of</w:t>
      </w:r>
      <w:proofErr w:type="gramEnd"/>
      <w:r w:rsidRPr="009B4E1C">
        <w:rPr>
          <w:sz w:val="18"/>
          <w:szCs w:val="18"/>
        </w:rPr>
        <w:t xml:space="preserve"> the inputs and processes needed to create outputs. That is, the inputs and processes applied to those inputs must have ‘the ability to contribute to the creation of outputs’ rather than ‘the ability to create </w:t>
      </w:r>
      <w:proofErr w:type="gramStart"/>
      <w:r w:rsidRPr="009B4E1C">
        <w:rPr>
          <w:sz w:val="18"/>
          <w:szCs w:val="18"/>
        </w:rPr>
        <w:t>outputs’</w:t>
      </w:r>
      <w:proofErr w:type="gramEnd"/>
      <w:r w:rsidRPr="009B4E1C">
        <w:rPr>
          <w:sz w:val="18"/>
          <w:szCs w:val="18"/>
        </w:rPr>
        <w:t>.</w:t>
      </w:r>
    </w:p>
    <w:p w14:paraId="22A2FA09" w14:textId="77777777" w:rsidR="009B4E1C" w:rsidRPr="009B4E1C" w:rsidRDefault="009B4E1C" w:rsidP="009B4E1C">
      <w:pPr>
        <w:spacing w:before="120" w:after="120"/>
        <w:jc w:val="both"/>
        <w:rPr>
          <w:sz w:val="18"/>
          <w:szCs w:val="18"/>
        </w:rPr>
      </w:pPr>
      <w:r w:rsidRPr="009B4E1C">
        <w:rPr>
          <w:sz w:val="18"/>
          <w:szCs w:val="18"/>
        </w:rPr>
        <w:t xml:space="preserve">The amendments also remove the assessment of whether market participants </w:t>
      </w:r>
      <w:proofErr w:type="gramStart"/>
      <w:r w:rsidRPr="009B4E1C">
        <w:rPr>
          <w:sz w:val="18"/>
          <w:szCs w:val="18"/>
        </w:rPr>
        <w:t>are capable of replacing</w:t>
      </w:r>
      <w:proofErr w:type="gramEnd"/>
      <w:r w:rsidRPr="009B4E1C">
        <w:rPr>
          <w:sz w:val="18"/>
          <w:szCs w:val="18"/>
        </w:rPr>
        <w:t xml:space="preserve"> any missing elements or processes with their contributions and processes to the ongoing receiving an output.</w:t>
      </w:r>
    </w:p>
    <w:p w14:paraId="615EF526" w14:textId="77777777" w:rsidR="009B4E1C" w:rsidRPr="009B4E1C" w:rsidRDefault="009B4E1C" w:rsidP="009B4E1C">
      <w:pPr>
        <w:spacing w:before="120" w:after="120"/>
        <w:jc w:val="both"/>
        <w:rPr>
          <w:sz w:val="18"/>
          <w:szCs w:val="18"/>
        </w:rPr>
      </w:pPr>
      <w:r w:rsidRPr="009B4E1C">
        <w:rPr>
          <w:sz w:val="18"/>
          <w:szCs w:val="18"/>
        </w:rPr>
        <w:t>The amendments introduced an optional fair value concentration test to permit a simplified assessment of whether an acquired set of activities and assets is not a business in line with IFRS 3 Business Combination.</w:t>
      </w:r>
    </w:p>
    <w:p w14:paraId="12EF9065" w14:textId="77777777" w:rsidR="009B4E1C" w:rsidRPr="009B4E1C" w:rsidRDefault="009B4E1C" w:rsidP="009B4E1C">
      <w:pPr>
        <w:spacing w:before="120" w:after="120"/>
        <w:jc w:val="both"/>
        <w:rPr>
          <w:sz w:val="18"/>
          <w:szCs w:val="18"/>
        </w:rPr>
      </w:pPr>
      <w:r w:rsidRPr="009B4E1C">
        <w:rPr>
          <w:sz w:val="18"/>
          <w:szCs w:val="18"/>
        </w:rPr>
        <w:t>An entity applies those amendments to business combinations for which the acquisition date is on or after the beginning of the first annual reporting period beginning on or after 01 January 2020. Earlier application is permitted.</w:t>
      </w:r>
    </w:p>
    <w:p w14:paraId="0B832127" w14:textId="77777777" w:rsidR="009B4E1C" w:rsidRPr="009B4E1C" w:rsidRDefault="009B4E1C" w:rsidP="009B4E1C">
      <w:pPr>
        <w:autoSpaceDE w:val="0"/>
        <w:autoSpaceDN w:val="0"/>
        <w:spacing w:before="240" w:after="120"/>
        <w:ind w:right="-23"/>
        <w:jc w:val="both"/>
        <w:rPr>
          <w:i/>
          <w:iCs/>
          <w:sz w:val="18"/>
          <w:szCs w:val="18"/>
        </w:rPr>
      </w:pPr>
      <w:r w:rsidRPr="009B4E1C">
        <w:rPr>
          <w:i/>
          <w:iCs/>
          <w:sz w:val="18"/>
          <w:szCs w:val="18"/>
        </w:rPr>
        <w:t>Definition of Material - Amendments to IAS 1 and IAS 8</w:t>
      </w:r>
    </w:p>
    <w:p w14:paraId="409B79F5" w14:textId="77777777" w:rsidR="009B4E1C" w:rsidRPr="009B4E1C" w:rsidRDefault="009B4E1C" w:rsidP="009B4E1C">
      <w:pPr>
        <w:spacing w:before="120" w:after="120"/>
        <w:jc w:val="both"/>
        <w:rPr>
          <w:sz w:val="18"/>
          <w:szCs w:val="18"/>
        </w:rPr>
      </w:pPr>
      <w:r w:rsidRPr="009B4E1C">
        <w:rPr>
          <w:sz w:val="18"/>
          <w:szCs w:val="18"/>
        </w:rPr>
        <w:t>The amendments are made to align the definition of ‘material’ across the standards and to clarify certain aspects of the definition. The amendments explain that information is obscured if it is communicated in a way that would have a similar effect as omitting or misstating the information. This idea is introduced in the new definition. The amendments replaced the threshold ‘could influence’, which suggests that any potential influence of users must be considered, with ‘could reasonably be expected to influence’ in the definition of ‘material’.</w:t>
      </w:r>
    </w:p>
    <w:p w14:paraId="27A28CF7" w14:textId="77777777" w:rsidR="009B4E1C" w:rsidRPr="009B4E1C" w:rsidRDefault="009B4E1C" w:rsidP="009B4E1C">
      <w:pPr>
        <w:spacing w:before="120" w:after="120"/>
        <w:jc w:val="both"/>
        <w:rPr>
          <w:sz w:val="18"/>
          <w:szCs w:val="18"/>
        </w:rPr>
      </w:pPr>
      <w:r w:rsidRPr="009B4E1C">
        <w:rPr>
          <w:sz w:val="18"/>
          <w:szCs w:val="18"/>
        </w:rPr>
        <w:lastRenderedPageBreak/>
        <w:t>The definition of material in IAS 8 was replaced with the reference to IAS 1. The IASB amended the other standards and the Conceptual Framework that reference to the definition of a material or use this term to be applied consistently.</w:t>
      </w:r>
    </w:p>
    <w:p w14:paraId="0DE3AD6C" w14:textId="220694DB" w:rsidR="007D3517" w:rsidRPr="009B4E1C" w:rsidRDefault="009B4E1C" w:rsidP="009B4E1C">
      <w:pPr>
        <w:spacing w:before="120" w:after="120"/>
        <w:jc w:val="both"/>
        <w:rPr>
          <w:sz w:val="18"/>
          <w:szCs w:val="18"/>
        </w:rPr>
      </w:pPr>
      <w:r w:rsidRPr="009B4E1C">
        <w:rPr>
          <w:sz w:val="18"/>
          <w:szCs w:val="18"/>
        </w:rPr>
        <w:t>The amendments are effective for annual periods beginning on or after 1 January 2020 and are applied prospectively. Earlier application is permitted.</w:t>
      </w:r>
    </w:p>
    <w:p w14:paraId="2CDCC839" w14:textId="77777777" w:rsidR="00DE5B33" w:rsidRPr="00DE5B33" w:rsidRDefault="00DE5B33" w:rsidP="00DE5B33">
      <w:pPr>
        <w:autoSpaceDE w:val="0"/>
        <w:autoSpaceDN w:val="0"/>
        <w:spacing w:before="240" w:after="120"/>
        <w:ind w:right="-23"/>
        <w:jc w:val="both"/>
        <w:rPr>
          <w:i/>
          <w:iCs/>
          <w:sz w:val="18"/>
          <w:szCs w:val="18"/>
        </w:rPr>
      </w:pPr>
      <w:r w:rsidRPr="00DE5B33">
        <w:rPr>
          <w:i/>
          <w:iCs/>
          <w:sz w:val="18"/>
          <w:szCs w:val="18"/>
        </w:rPr>
        <w:t>Amendments to the reference of the Conceptual Frameworks in IFRS</w:t>
      </w:r>
    </w:p>
    <w:p w14:paraId="2CFA0C3F" w14:textId="77777777" w:rsidR="00DE5B33" w:rsidRPr="00DE5B33" w:rsidRDefault="00DE5B33" w:rsidP="00DE5B33">
      <w:pPr>
        <w:spacing w:before="120" w:after="120"/>
        <w:jc w:val="both"/>
        <w:rPr>
          <w:sz w:val="18"/>
          <w:szCs w:val="18"/>
        </w:rPr>
      </w:pPr>
      <w:r w:rsidRPr="00DE5B33">
        <w:rPr>
          <w:sz w:val="18"/>
          <w:szCs w:val="18"/>
        </w:rPr>
        <w:t>Alongside the revised Conceptual Framework effective after publication on 29 March 2018, the IASB also issued Amendments to the references to the Conceptual Framework in IFRS. The document covers amendments to IFRS 2, IFRS 3, IFRS 6, IFRS 14, IAS 1, IAS 8, IAS 34, IAS 37, IAS 38, IFRIC 12, IFRIC 19, IFRIC 20, IFRIC 22 and SIC 32.</w:t>
      </w:r>
    </w:p>
    <w:p w14:paraId="50818385" w14:textId="77777777" w:rsidR="00DE5B33" w:rsidRPr="00DE5B33" w:rsidRDefault="00DE5B33" w:rsidP="00DE5B33">
      <w:pPr>
        <w:spacing w:before="120" w:after="120"/>
        <w:jc w:val="both"/>
        <w:rPr>
          <w:sz w:val="18"/>
          <w:szCs w:val="18"/>
        </w:rPr>
      </w:pPr>
      <w:r w:rsidRPr="00DE5B33">
        <w:rPr>
          <w:sz w:val="18"/>
          <w:szCs w:val="18"/>
        </w:rPr>
        <w:t>However, not all amendments update the provisions for references and citations so that they refer to a revised Conceptual Framework. Some provisions are amended only to indicate which version of the Concept they are referring to (the IASB principles adopted by the IASB in 2001, the IASB 2010 Concept or the new revised 2018 Concept) or indicate that the definitions in the Standard have not been updated with new definitions developed in a revised Conceptual Framework.</w:t>
      </w:r>
    </w:p>
    <w:p w14:paraId="139F5711" w14:textId="77777777" w:rsidR="00DE5B33" w:rsidRPr="00DE5B33" w:rsidRDefault="00DE5B33" w:rsidP="00DE5B33">
      <w:pPr>
        <w:spacing w:before="120" w:after="120"/>
        <w:jc w:val="both"/>
        <w:rPr>
          <w:sz w:val="18"/>
          <w:szCs w:val="18"/>
        </w:rPr>
      </w:pPr>
      <w:r w:rsidRPr="00DE5B33">
        <w:rPr>
          <w:sz w:val="18"/>
          <w:szCs w:val="18"/>
        </w:rPr>
        <w:t>Amendments that are in fact updates become effective for annual periods beginning on or after 1 January 2020, with early adoption permitted.</w:t>
      </w:r>
    </w:p>
    <w:p w14:paraId="62DBE12B" w14:textId="77777777" w:rsidR="00DE5B33" w:rsidRPr="00DE5B33" w:rsidRDefault="00DE5B33" w:rsidP="00DE5B33">
      <w:pPr>
        <w:spacing w:before="120" w:after="120"/>
        <w:jc w:val="both"/>
        <w:rPr>
          <w:sz w:val="18"/>
          <w:szCs w:val="18"/>
        </w:rPr>
      </w:pPr>
      <w:r w:rsidRPr="00DE5B33">
        <w:rPr>
          <w:sz w:val="18"/>
          <w:szCs w:val="18"/>
        </w:rPr>
        <w:t>Management does not expect that the application of the above standards will have a material impact on the Company's financial statements.</w:t>
      </w:r>
    </w:p>
    <w:p w14:paraId="4251D63B" w14:textId="77777777" w:rsidR="00DE5B33" w:rsidRPr="005168A2" w:rsidRDefault="00DE5B33" w:rsidP="00DE5B33">
      <w:pPr>
        <w:rPr>
          <w:sz w:val="18"/>
          <w:szCs w:val="18"/>
        </w:rPr>
      </w:pPr>
    </w:p>
    <w:p w14:paraId="6E756B31" w14:textId="1CDB4487" w:rsidR="00DE5B33" w:rsidRPr="00DE5B33" w:rsidRDefault="00DE5B33" w:rsidP="00DE5B33">
      <w:pPr>
        <w:pStyle w:val="ListParagraph"/>
        <w:numPr>
          <w:ilvl w:val="0"/>
          <w:numId w:val="1"/>
        </w:numPr>
        <w:spacing w:before="240" w:after="120"/>
        <w:ind w:left="357" w:hanging="357"/>
        <w:contextualSpacing w:val="0"/>
        <w:outlineLvl w:val="0"/>
        <w:rPr>
          <w:b/>
          <w:bCs/>
          <w:sz w:val="18"/>
          <w:szCs w:val="18"/>
          <w:lang w:val="en-US"/>
        </w:rPr>
      </w:pPr>
      <w:bookmarkStart w:id="20" w:name="_Toc457467594"/>
      <w:bookmarkStart w:id="21" w:name="_Toc57894889"/>
      <w:r w:rsidRPr="00DE5B33">
        <w:rPr>
          <w:b/>
          <w:bCs/>
          <w:sz w:val="18"/>
          <w:szCs w:val="18"/>
          <w:lang w:val="en-US"/>
        </w:rPr>
        <w:t xml:space="preserve">Summary of </w:t>
      </w:r>
      <w:r w:rsidR="00A91B56">
        <w:rPr>
          <w:b/>
          <w:bCs/>
          <w:sz w:val="18"/>
          <w:szCs w:val="18"/>
          <w:lang w:val="en-US"/>
        </w:rPr>
        <w:t>s</w:t>
      </w:r>
      <w:r w:rsidRPr="00DE5B33">
        <w:rPr>
          <w:b/>
          <w:bCs/>
          <w:sz w:val="18"/>
          <w:szCs w:val="18"/>
          <w:lang w:val="en-US"/>
        </w:rPr>
        <w:t xml:space="preserve">ignificant </w:t>
      </w:r>
      <w:r w:rsidR="00A91B56">
        <w:rPr>
          <w:b/>
          <w:bCs/>
          <w:sz w:val="18"/>
          <w:szCs w:val="18"/>
          <w:lang w:val="en-US"/>
        </w:rPr>
        <w:t>a</w:t>
      </w:r>
      <w:r w:rsidRPr="00DE5B33">
        <w:rPr>
          <w:b/>
          <w:bCs/>
          <w:sz w:val="18"/>
          <w:szCs w:val="18"/>
          <w:lang w:val="en-US"/>
        </w:rPr>
        <w:t xml:space="preserve">ccounting </w:t>
      </w:r>
      <w:r w:rsidR="00A91B56">
        <w:rPr>
          <w:b/>
          <w:bCs/>
          <w:sz w:val="18"/>
          <w:szCs w:val="18"/>
          <w:lang w:val="en-US"/>
        </w:rPr>
        <w:t>p</w:t>
      </w:r>
      <w:r w:rsidRPr="00DE5B33">
        <w:rPr>
          <w:b/>
          <w:bCs/>
          <w:sz w:val="18"/>
          <w:szCs w:val="18"/>
          <w:lang w:val="en-US"/>
        </w:rPr>
        <w:t>olicies</w:t>
      </w:r>
      <w:bookmarkEnd w:id="20"/>
      <w:bookmarkEnd w:id="21"/>
      <w:r w:rsidRPr="00DE5B33">
        <w:rPr>
          <w:b/>
          <w:bCs/>
          <w:sz w:val="18"/>
          <w:szCs w:val="18"/>
          <w:lang w:val="en-US"/>
        </w:rPr>
        <w:t xml:space="preserve"> </w:t>
      </w:r>
    </w:p>
    <w:p w14:paraId="299E36E0" w14:textId="77777777" w:rsidR="00DE5B33" w:rsidRPr="00EC690A" w:rsidRDefault="00DE5B33" w:rsidP="00DE5B33">
      <w:pPr>
        <w:spacing w:before="120"/>
        <w:rPr>
          <w:rFonts w:cs="Courier New"/>
          <w:b/>
          <w:bCs/>
          <w:i/>
          <w:sz w:val="18"/>
          <w:szCs w:val="18"/>
        </w:rPr>
      </w:pPr>
      <w:r w:rsidRPr="00EC690A">
        <w:rPr>
          <w:rFonts w:cs="Courier New"/>
          <w:b/>
          <w:bCs/>
          <w:i/>
          <w:sz w:val="18"/>
          <w:szCs w:val="18"/>
        </w:rPr>
        <w:t>Financial assets</w:t>
      </w:r>
    </w:p>
    <w:p w14:paraId="35ABEB65" w14:textId="77777777" w:rsidR="00DE5B33" w:rsidRPr="00EC690A" w:rsidRDefault="00DE5B33" w:rsidP="00DE5B33">
      <w:pPr>
        <w:spacing w:before="120"/>
        <w:rPr>
          <w:sz w:val="18"/>
          <w:szCs w:val="18"/>
        </w:rPr>
      </w:pPr>
      <w:r w:rsidRPr="00EC690A">
        <w:rPr>
          <w:sz w:val="18"/>
          <w:szCs w:val="18"/>
        </w:rPr>
        <w:t xml:space="preserve">The Company classifies its financial assets in the following categories: </w:t>
      </w:r>
    </w:p>
    <w:p w14:paraId="2EDCED0A" w14:textId="0B0507CF" w:rsidR="00DE5B33" w:rsidRDefault="00DE5B33" w:rsidP="00DE5B33">
      <w:pPr>
        <w:numPr>
          <w:ilvl w:val="0"/>
          <w:numId w:val="11"/>
        </w:numPr>
        <w:tabs>
          <w:tab w:val="clear" w:pos="1080"/>
          <w:tab w:val="num" w:pos="426"/>
        </w:tabs>
        <w:spacing w:before="120" w:after="120"/>
        <w:ind w:left="426" w:hanging="426"/>
        <w:jc w:val="both"/>
        <w:rPr>
          <w:sz w:val="18"/>
          <w:szCs w:val="18"/>
        </w:rPr>
      </w:pPr>
      <w:r>
        <w:rPr>
          <w:sz w:val="18"/>
          <w:szCs w:val="18"/>
        </w:rPr>
        <w:t>Bank accounts</w:t>
      </w:r>
      <w:r>
        <w:rPr>
          <w:sz w:val="18"/>
          <w:szCs w:val="18"/>
          <w:lang w:val="ru-RU"/>
        </w:rPr>
        <w:t>;</w:t>
      </w:r>
    </w:p>
    <w:p w14:paraId="1F724820" w14:textId="71E3B79B" w:rsidR="00DE5B33" w:rsidRPr="00EC690A" w:rsidRDefault="00DE5B33" w:rsidP="00DE5B33">
      <w:pPr>
        <w:numPr>
          <w:ilvl w:val="0"/>
          <w:numId w:val="11"/>
        </w:numPr>
        <w:tabs>
          <w:tab w:val="clear" w:pos="1080"/>
          <w:tab w:val="num" w:pos="426"/>
        </w:tabs>
        <w:spacing w:before="120" w:after="120"/>
        <w:ind w:left="426" w:hanging="426"/>
        <w:jc w:val="both"/>
        <w:rPr>
          <w:sz w:val="18"/>
          <w:szCs w:val="18"/>
        </w:rPr>
      </w:pPr>
      <w:r>
        <w:rPr>
          <w:sz w:val="18"/>
          <w:szCs w:val="18"/>
        </w:rPr>
        <w:t>Deposits with banks</w:t>
      </w:r>
      <w:r w:rsidRPr="00EC690A">
        <w:rPr>
          <w:sz w:val="18"/>
          <w:szCs w:val="18"/>
        </w:rPr>
        <w:t>;</w:t>
      </w:r>
    </w:p>
    <w:p w14:paraId="7E45C392" w14:textId="0F039F13" w:rsidR="00DE5B33" w:rsidRPr="00EC690A" w:rsidRDefault="00656626" w:rsidP="00DE5B33">
      <w:pPr>
        <w:numPr>
          <w:ilvl w:val="0"/>
          <w:numId w:val="11"/>
        </w:numPr>
        <w:tabs>
          <w:tab w:val="clear" w:pos="1080"/>
          <w:tab w:val="num" w:pos="426"/>
        </w:tabs>
        <w:spacing w:before="120" w:after="120"/>
        <w:ind w:left="426" w:hanging="426"/>
        <w:jc w:val="both"/>
        <w:rPr>
          <w:sz w:val="18"/>
          <w:szCs w:val="18"/>
        </w:rPr>
      </w:pPr>
      <w:r>
        <w:rPr>
          <w:sz w:val="18"/>
          <w:szCs w:val="18"/>
        </w:rPr>
        <w:t>Insurance and r</w:t>
      </w:r>
      <w:r w:rsidR="00DE5B33">
        <w:rPr>
          <w:sz w:val="18"/>
          <w:szCs w:val="18"/>
        </w:rPr>
        <w:t>einsurance receivables</w:t>
      </w:r>
      <w:r w:rsidR="00DE5B33" w:rsidRPr="00EC690A">
        <w:rPr>
          <w:sz w:val="18"/>
          <w:szCs w:val="18"/>
        </w:rPr>
        <w:t>.</w:t>
      </w:r>
    </w:p>
    <w:p w14:paraId="556CB0F9" w14:textId="3CAA0B35" w:rsidR="00DE5B33" w:rsidRPr="00EC690A" w:rsidRDefault="00DE5B33" w:rsidP="00DE5B33">
      <w:pPr>
        <w:pStyle w:val="BodyText"/>
        <w:spacing w:before="120"/>
        <w:rPr>
          <w:sz w:val="18"/>
          <w:szCs w:val="18"/>
        </w:rPr>
      </w:pPr>
      <w:r w:rsidRPr="00EC690A">
        <w:rPr>
          <w:sz w:val="18"/>
          <w:szCs w:val="18"/>
        </w:rPr>
        <w:t xml:space="preserve">The Company determines the classification of its financial assets at initial recognition. </w:t>
      </w:r>
      <w:r w:rsidR="00512436">
        <w:rPr>
          <w:sz w:val="18"/>
          <w:szCs w:val="18"/>
        </w:rPr>
        <w:t>The c</w:t>
      </w:r>
      <w:r w:rsidRPr="00EC690A">
        <w:rPr>
          <w:sz w:val="18"/>
          <w:szCs w:val="18"/>
        </w:rPr>
        <w:t>lassification depends on the</w:t>
      </w:r>
      <w:r w:rsidR="00512436">
        <w:rPr>
          <w:sz w:val="18"/>
          <w:szCs w:val="18"/>
        </w:rPr>
        <w:t xml:space="preserve"> nature and</w:t>
      </w:r>
      <w:r w:rsidRPr="00EC690A">
        <w:rPr>
          <w:sz w:val="18"/>
          <w:szCs w:val="18"/>
        </w:rPr>
        <w:t xml:space="preserve"> purpose</w:t>
      </w:r>
      <w:r w:rsidR="00512436">
        <w:rPr>
          <w:sz w:val="18"/>
          <w:szCs w:val="18"/>
        </w:rPr>
        <w:t xml:space="preserve"> of the financial assets and is determined at the time of initial recognition. All regular way</w:t>
      </w:r>
      <w:r w:rsidR="001F5A00">
        <w:rPr>
          <w:sz w:val="18"/>
          <w:szCs w:val="18"/>
        </w:rPr>
        <w:t xml:space="preserve"> purchases or sales of financial assets are recognised and derecognised on a trade date basis. Regular way purchase or sales are purchases or sales of financial assets that require delivery of assets within the time frame established by regulation or convention in the marketplace</w:t>
      </w:r>
      <w:r w:rsidRPr="00EC690A">
        <w:rPr>
          <w:sz w:val="18"/>
          <w:szCs w:val="18"/>
        </w:rPr>
        <w:t xml:space="preserve">. </w:t>
      </w:r>
    </w:p>
    <w:p w14:paraId="45CE20E4" w14:textId="77777777" w:rsidR="00DE5B33" w:rsidRPr="00EC690A" w:rsidRDefault="00DE5B33" w:rsidP="00DE5B33">
      <w:pPr>
        <w:autoSpaceDE w:val="0"/>
        <w:autoSpaceDN w:val="0"/>
        <w:adjustRightInd w:val="0"/>
        <w:spacing w:before="240"/>
        <w:rPr>
          <w:rFonts w:cs="Courier New"/>
          <w:b/>
          <w:bCs/>
          <w:i/>
          <w:sz w:val="18"/>
          <w:szCs w:val="18"/>
        </w:rPr>
      </w:pPr>
      <w:r w:rsidRPr="00EC690A">
        <w:rPr>
          <w:rFonts w:cs="Courier New"/>
          <w:b/>
          <w:bCs/>
          <w:i/>
          <w:sz w:val="18"/>
          <w:szCs w:val="18"/>
        </w:rPr>
        <w:t>Initial recognition of financial instruments</w:t>
      </w:r>
    </w:p>
    <w:p w14:paraId="0FD09BE7" w14:textId="77777777" w:rsidR="00DE5B33" w:rsidRPr="00EC690A" w:rsidRDefault="00DE5B33" w:rsidP="00DE5B33">
      <w:pPr>
        <w:pStyle w:val="BodyText"/>
        <w:spacing w:before="120"/>
        <w:rPr>
          <w:sz w:val="18"/>
          <w:szCs w:val="18"/>
        </w:rPr>
      </w:pPr>
      <w:r w:rsidRPr="00EC690A">
        <w:rPr>
          <w:sz w:val="18"/>
          <w:szCs w:val="18"/>
        </w:rPr>
        <w:t>The Company recognises financial assets and financial liabilities in its statement of financial position when it becomes a party to the contractual obligation of the financial instrument. Regular way purchases and sales of the financial assets and liabilities are recognised using settlement date accounting.</w:t>
      </w:r>
    </w:p>
    <w:p w14:paraId="50F9B4EC" w14:textId="77777777" w:rsidR="00DE5B33" w:rsidRPr="00EC690A" w:rsidRDefault="00DE5B33" w:rsidP="00DE5B33">
      <w:pPr>
        <w:pStyle w:val="BodyText"/>
        <w:spacing w:before="120"/>
        <w:rPr>
          <w:sz w:val="18"/>
          <w:szCs w:val="18"/>
        </w:rPr>
      </w:pPr>
      <w:r w:rsidRPr="00EC690A">
        <w:rPr>
          <w:sz w:val="18"/>
          <w:szCs w:val="18"/>
        </w:rPr>
        <w:t>All financial assets are initially recognised at fair value plus transaction costs that are directly attributable to acquisition or issue of the financial instrument.</w:t>
      </w:r>
    </w:p>
    <w:p w14:paraId="169EB0EE" w14:textId="77777777" w:rsidR="00DE5B33" w:rsidRPr="00EC690A" w:rsidRDefault="00DE5B33" w:rsidP="00DE5B33">
      <w:pPr>
        <w:autoSpaceDE w:val="0"/>
        <w:autoSpaceDN w:val="0"/>
        <w:adjustRightInd w:val="0"/>
        <w:spacing w:before="240"/>
        <w:rPr>
          <w:rFonts w:cs="Courier New"/>
          <w:b/>
          <w:bCs/>
          <w:i/>
          <w:sz w:val="18"/>
          <w:szCs w:val="18"/>
        </w:rPr>
      </w:pPr>
      <w:r w:rsidRPr="00EC690A">
        <w:rPr>
          <w:rFonts w:cs="Courier New"/>
          <w:b/>
          <w:bCs/>
          <w:i/>
          <w:sz w:val="18"/>
          <w:szCs w:val="18"/>
        </w:rPr>
        <w:t>Fair value measurement</w:t>
      </w:r>
    </w:p>
    <w:p w14:paraId="60F66337" w14:textId="77777777" w:rsidR="00DE5B33" w:rsidRPr="00EC690A" w:rsidRDefault="00DE5B33" w:rsidP="001F5A00">
      <w:pPr>
        <w:spacing w:before="120"/>
        <w:jc w:val="both"/>
        <w:rPr>
          <w:sz w:val="18"/>
          <w:szCs w:val="18"/>
        </w:rPr>
      </w:pPr>
      <w:r w:rsidRPr="00EC690A">
        <w:rPr>
          <w:sz w:val="18"/>
          <w:szCs w:val="18"/>
        </w:rPr>
        <w:t xml:space="preserve">The fair value of financial instruments traded on the active market as at the reporting date is determined based on the market or dealers’ quotations including transaction costs. </w:t>
      </w:r>
    </w:p>
    <w:p w14:paraId="67491D21" w14:textId="77777777" w:rsidR="00DE5B33" w:rsidRPr="00EC690A" w:rsidRDefault="00DE5B33" w:rsidP="001F5A00">
      <w:pPr>
        <w:spacing w:before="120"/>
        <w:jc w:val="both"/>
        <w:rPr>
          <w:rFonts w:cs="Arial"/>
          <w:sz w:val="18"/>
          <w:szCs w:val="18"/>
        </w:rPr>
      </w:pPr>
      <w:r w:rsidRPr="00EC690A">
        <w:rPr>
          <w:rFonts w:cs="Arial"/>
          <w:sz w:val="18"/>
          <w:szCs w:val="18"/>
        </w:rPr>
        <w:t xml:space="preserve">If a quoted market price is not available, the fair value of financial assets and financial liabilities recorded in the statement of financial position is estimated </w:t>
      </w:r>
      <w:proofErr w:type="gramStart"/>
      <w:r w:rsidRPr="00EC690A">
        <w:rPr>
          <w:rFonts w:cs="Arial"/>
          <w:sz w:val="18"/>
          <w:szCs w:val="18"/>
        </w:rPr>
        <w:t>on the basis of</w:t>
      </w:r>
      <w:proofErr w:type="gramEnd"/>
      <w:r w:rsidRPr="00EC690A">
        <w:rPr>
          <w:rFonts w:cs="Arial"/>
          <w:sz w:val="18"/>
          <w:szCs w:val="18"/>
        </w:rPr>
        <w:t xml:space="preserve"> market quotations for similar financial instruments or using various valuation techniques, including mathematical models. </w:t>
      </w:r>
      <w:r w:rsidRPr="00EC690A">
        <w:rPr>
          <w:sz w:val="18"/>
          <w:szCs w:val="18"/>
        </w:rPr>
        <w:t>Where mathematical models are used, inputs are based on observable market data or judgment</w:t>
      </w:r>
      <w:r w:rsidRPr="00EC690A">
        <w:rPr>
          <w:rFonts w:cs="Arial"/>
          <w:sz w:val="18"/>
          <w:szCs w:val="18"/>
        </w:rPr>
        <w:t>.</w:t>
      </w:r>
    </w:p>
    <w:p w14:paraId="7AEF6742" w14:textId="77777777" w:rsidR="00DE5B33" w:rsidRPr="00EC690A" w:rsidRDefault="00DE5B33" w:rsidP="001F5A00">
      <w:pPr>
        <w:spacing w:before="120" w:after="240"/>
        <w:jc w:val="both"/>
        <w:rPr>
          <w:rFonts w:cs="TimesNewRoman"/>
          <w:sz w:val="18"/>
          <w:szCs w:val="18"/>
        </w:rPr>
      </w:pPr>
      <w:r w:rsidRPr="00EC690A">
        <w:rPr>
          <w:rFonts w:cs="TimesNewRoman"/>
          <w:sz w:val="18"/>
          <w:szCs w:val="18"/>
        </w:rPr>
        <w:t>Judgment is based on such considerations as the time value of money, credit risk level, volatility of the instrument, market risk level and other applicable factors.</w:t>
      </w:r>
    </w:p>
    <w:p w14:paraId="233706E8" w14:textId="3E3D4F6B" w:rsidR="00DE5B33" w:rsidRPr="00A91B56" w:rsidRDefault="00A91B56" w:rsidP="00A91B56">
      <w:pPr>
        <w:autoSpaceDE w:val="0"/>
        <w:autoSpaceDN w:val="0"/>
        <w:adjustRightInd w:val="0"/>
        <w:spacing w:before="240"/>
        <w:rPr>
          <w:rFonts w:cs="Courier New"/>
          <w:b/>
          <w:bCs/>
          <w:i/>
          <w:sz w:val="18"/>
          <w:szCs w:val="18"/>
        </w:rPr>
      </w:pPr>
      <w:r w:rsidRPr="00A91B56">
        <w:rPr>
          <w:rFonts w:cs="Courier New"/>
          <w:b/>
          <w:bCs/>
          <w:i/>
          <w:sz w:val="18"/>
          <w:szCs w:val="18"/>
        </w:rPr>
        <w:t>Impairment of financial assets</w:t>
      </w:r>
    </w:p>
    <w:p w14:paraId="5805E650" w14:textId="4F8911D4" w:rsidR="00A91B56" w:rsidRDefault="00A91B56" w:rsidP="0038280C">
      <w:pPr>
        <w:spacing w:before="120"/>
        <w:jc w:val="both"/>
        <w:rPr>
          <w:sz w:val="18"/>
          <w:szCs w:val="18"/>
        </w:rPr>
      </w:pPr>
      <w:r w:rsidRPr="0038280C">
        <w:rPr>
          <w:sz w:val="18"/>
          <w:szCs w:val="18"/>
        </w:rPr>
        <w:t>The Company assesses on each closing date whether there is any objective evidence that the value of a financial asset item or company of items has been impaired</w:t>
      </w:r>
      <w:r w:rsidRPr="00EC690A">
        <w:rPr>
          <w:sz w:val="18"/>
          <w:szCs w:val="18"/>
        </w:rPr>
        <w:t xml:space="preserve">. Impairment losses are recognised in the </w:t>
      </w:r>
      <w:r w:rsidRPr="00EC690A">
        <w:rPr>
          <w:sz w:val="18"/>
          <w:szCs w:val="18"/>
        </w:rPr>
        <w:lastRenderedPageBreak/>
        <w:t xml:space="preserve">statement of comprehensive income as they are incurred as a result of one or more events that occurred after the initial recognition of the asset (a 'loss event') and has an impact on the amount or timing of the estimated future cash flows of the financial asset or </w:t>
      </w:r>
      <w:r w:rsidR="00915047">
        <w:rPr>
          <w:sz w:val="18"/>
          <w:szCs w:val="18"/>
        </w:rPr>
        <w:t>group</w:t>
      </w:r>
      <w:r w:rsidRPr="00EC690A">
        <w:rPr>
          <w:sz w:val="18"/>
          <w:szCs w:val="18"/>
        </w:rPr>
        <w:t xml:space="preserve"> of financial assets that can be reliably estimated. If the Company determines that no objective evidence of impairment exists for an individually assessed financial asset, it includes the asset in a company of financial assets with similar credit risk characteristics and collectively assesses them for impairment.</w:t>
      </w:r>
    </w:p>
    <w:p w14:paraId="587DC75C" w14:textId="3EBC5929" w:rsidR="00915047" w:rsidRDefault="00915047" w:rsidP="0038280C">
      <w:pPr>
        <w:spacing w:before="120"/>
        <w:jc w:val="both"/>
        <w:rPr>
          <w:sz w:val="18"/>
          <w:szCs w:val="18"/>
        </w:rPr>
      </w:pPr>
      <w:r w:rsidRPr="00915047">
        <w:rPr>
          <w:sz w:val="18"/>
          <w:szCs w:val="18"/>
        </w:rPr>
        <w:t xml:space="preserve">For specific categories of financial assets, such as receivables from insurance and reinsurance, assets that were not individually determined to be impaired are also assessed for impairment </w:t>
      </w:r>
      <w:proofErr w:type="gramStart"/>
      <w:r w:rsidRPr="00915047">
        <w:rPr>
          <w:sz w:val="18"/>
          <w:szCs w:val="18"/>
        </w:rPr>
        <w:t>as a whole for</w:t>
      </w:r>
      <w:proofErr w:type="gramEnd"/>
      <w:r w:rsidRPr="00915047">
        <w:rPr>
          <w:sz w:val="18"/>
          <w:szCs w:val="18"/>
        </w:rPr>
        <w:t xml:space="preserve"> the portfolio. An objective sign of a decline in the value of a portfolio of receivables can be the Company's past experience in debt collection, an increase in the number of delays in repayment of debt on the portfolio, as well as pronounced changes in the national and local economy, which are usually accompanied by default on payments.</w:t>
      </w:r>
    </w:p>
    <w:p w14:paraId="5AB54A71" w14:textId="02D6D4BD" w:rsidR="00915047" w:rsidRPr="00EC690A" w:rsidRDefault="0038280C" w:rsidP="0038280C">
      <w:pPr>
        <w:spacing w:before="120" w:after="120"/>
        <w:jc w:val="both"/>
        <w:rPr>
          <w:sz w:val="18"/>
          <w:szCs w:val="18"/>
        </w:rPr>
      </w:pPr>
      <w:r w:rsidRPr="0038280C">
        <w:rPr>
          <w:sz w:val="18"/>
          <w:szCs w:val="18"/>
        </w:rPr>
        <w:t>If it is impossible to collect insurance and reinsurance receivables, including through the foreclosure of collateral, they are written off against the allowance for impairment losses. Insurance and reinsurance receivables are written off after the management of the Company has taken all possible measures to collect the amounts due to the Company. Subsequent recoveries of amounts previously written off are reflected as an offset to the charge for impairment of financial assets in the statement of comprehensive income in the period of recovery</w:t>
      </w:r>
      <w:r>
        <w:rPr>
          <w:sz w:val="18"/>
          <w:szCs w:val="18"/>
        </w:rPr>
        <w:t>.</w:t>
      </w:r>
    </w:p>
    <w:p w14:paraId="756174C9" w14:textId="77777777" w:rsidR="00A91B56" w:rsidRPr="00EC690A" w:rsidRDefault="00A91B56" w:rsidP="00A91B56">
      <w:pPr>
        <w:autoSpaceDE w:val="0"/>
        <w:autoSpaceDN w:val="0"/>
        <w:adjustRightInd w:val="0"/>
        <w:spacing w:before="240"/>
        <w:rPr>
          <w:rFonts w:cs="Courier New"/>
          <w:b/>
          <w:bCs/>
          <w:i/>
          <w:sz w:val="18"/>
          <w:szCs w:val="18"/>
        </w:rPr>
      </w:pPr>
      <w:r w:rsidRPr="00EC690A">
        <w:rPr>
          <w:rFonts w:cs="Courier New"/>
          <w:b/>
          <w:bCs/>
          <w:i/>
          <w:sz w:val="18"/>
          <w:szCs w:val="18"/>
        </w:rPr>
        <w:t>Derecognition of financial assets</w:t>
      </w:r>
    </w:p>
    <w:p w14:paraId="36CA282C" w14:textId="68259927" w:rsidR="00A91B56" w:rsidRPr="00EC690A" w:rsidRDefault="00A91B56" w:rsidP="0038280C">
      <w:pPr>
        <w:spacing w:before="120"/>
        <w:jc w:val="both"/>
        <w:rPr>
          <w:sz w:val="18"/>
          <w:szCs w:val="18"/>
        </w:rPr>
      </w:pPr>
      <w:r w:rsidRPr="00EC690A">
        <w:rPr>
          <w:rFonts w:cs="Arial"/>
          <w:sz w:val="18"/>
          <w:szCs w:val="18"/>
        </w:rPr>
        <w:t>A financial asset (or, where applicable, a part of a financial asset</w:t>
      </w:r>
      <w:r w:rsidRPr="00EC690A">
        <w:rPr>
          <w:rFonts w:cs="TimesNewRoman"/>
          <w:sz w:val="18"/>
          <w:szCs w:val="18"/>
        </w:rPr>
        <w:t xml:space="preserve">, or part of a </w:t>
      </w:r>
      <w:r w:rsidR="0038280C">
        <w:rPr>
          <w:rFonts w:cs="TimesNewRoman"/>
          <w:sz w:val="18"/>
          <w:szCs w:val="18"/>
        </w:rPr>
        <w:t>group</w:t>
      </w:r>
      <w:r w:rsidRPr="00EC690A">
        <w:rPr>
          <w:rFonts w:cs="TimesNewRoman"/>
          <w:sz w:val="18"/>
          <w:szCs w:val="18"/>
        </w:rPr>
        <w:t xml:space="preserve"> of similar financial assets</w:t>
      </w:r>
      <w:r w:rsidRPr="00EC690A">
        <w:rPr>
          <w:rFonts w:cs="Arial"/>
          <w:sz w:val="18"/>
          <w:szCs w:val="18"/>
        </w:rPr>
        <w:t>) is derecognised where:</w:t>
      </w:r>
    </w:p>
    <w:p w14:paraId="04740238" w14:textId="77777777" w:rsidR="00A91B56" w:rsidRPr="00EC690A" w:rsidRDefault="00A91B56" w:rsidP="0038280C">
      <w:pPr>
        <w:numPr>
          <w:ilvl w:val="0"/>
          <w:numId w:val="11"/>
        </w:numPr>
        <w:tabs>
          <w:tab w:val="clear" w:pos="1080"/>
          <w:tab w:val="num" w:pos="426"/>
        </w:tabs>
        <w:spacing w:before="120" w:after="120"/>
        <w:ind w:left="426" w:hanging="426"/>
        <w:jc w:val="both"/>
        <w:rPr>
          <w:sz w:val="18"/>
          <w:szCs w:val="18"/>
        </w:rPr>
      </w:pPr>
      <w:r w:rsidRPr="00EC690A">
        <w:rPr>
          <w:sz w:val="18"/>
          <w:szCs w:val="18"/>
        </w:rPr>
        <w:t>the rights to receive cash flows from the asset have expired;</w:t>
      </w:r>
    </w:p>
    <w:p w14:paraId="7185D6D6" w14:textId="77777777" w:rsidR="00A91B56" w:rsidRPr="00EC690A" w:rsidRDefault="00A91B56" w:rsidP="0038280C">
      <w:pPr>
        <w:numPr>
          <w:ilvl w:val="0"/>
          <w:numId w:val="12"/>
        </w:numPr>
        <w:tabs>
          <w:tab w:val="clear" w:pos="357"/>
          <w:tab w:val="num" w:pos="426"/>
          <w:tab w:val="num" w:pos="720"/>
          <w:tab w:val="num" w:pos="1080"/>
        </w:tabs>
        <w:spacing w:before="120" w:after="120"/>
        <w:ind w:left="426" w:hanging="426"/>
        <w:jc w:val="both"/>
        <w:rPr>
          <w:sz w:val="18"/>
          <w:szCs w:val="18"/>
        </w:rPr>
      </w:pPr>
      <w:r w:rsidRPr="00EC690A">
        <w:rPr>
          <w:rFonts w:cs="TimesNewRoman"/>
          <w:sz w:val="18"/>
          <w:szCs w:val="18"/>
        </w:rPr>
        <w:t>the Company has transferred its rights to receive cash flows from the asset, or retained the right to receive cash flows from the asset, but has assumed an obligation to pay them in full without material delay to a third party; and</w:t>
      </w:r>
    </w:p>
    <w:p w14:paraId="368FCE4C" w14:textId="6ABA2FFA" w:rsidR="00A91B56" w:rsidRPr="00EC690A" w:rsidRDefault="00A91B56" w:rsidP="0038280C">
      <w:pPr>
        <w:numPr>
          <w:ilvl w:val="0"/>
          <w:numId w:val="11"/>
        </w:numPr>
        <w:tabs>
          <w:tab w:val="clear" w:pos="1080"/>
          <w:tab w:val="num" w:pos="426"/>
          <w:tab w:val="num" w:pos="720"/>
        </w:tabs>
        <w:spacing w:before="120" w:after="120"/>
        <w:ind w:left="426" w:hanging="426"/>
        <w:jc w:val="both"/>
        <w:rPr>
          <w:sz w:val="18"/>
          <w:szCs w:val="18"/>
        </w:rPr>
      </w:pPr>
      <w:r w:rsidRPr="00EC690A">
        <w:rPr>
          <w:rFonts w:cs="TimesNewRoman"/>
          <w:sz w:val="18"/>
          <w:szCs w:val="18"/>
        </w:rPr>
        <w:t xml:space="preserve">the Company either has transferred substantially all the risks and rewards of the </w:t>
      </w:r>
      <w:r w:rsidR="00C66EEF" w:rsidRPr="00EC690A">
        <w:rPr>
          <w:rFonts w:cs="TimesNewRoman"/>
          <w:sz w:val="18"/>
          <w:szCs w:val="18"/>
        </w:rPr>
        <w:t>asset or</w:t>
      </w:r>
      <w:r w:rsidRPr="00EC690A">
        <w:rPr>
          <w:rFonts w:cs="TimesNewRoman"/>
          <w:sz w:val="18"/>
          <w:szCs w:val="18"/>
        </w:rPr>
        <w:t xml:space="preserve"> has neither transferred nor retained substantially all the risks and rewards of the </w:t>
      </w:r>
      <w:r w:rsidR="0038280C" w:rsidRPr="00EC690A">
        <w:rPr>
          <w:rFonts w:cs="TimesNewRoman"/>
          <w:sz w:val="18"/>
          <w:szCs w:val="18"/>
        </w:rPr>
        <w:t>asset but</w:t>
      </w:r>
      <w:r w:rsidRPr="00EC690A">
        <w:rPr>
          <w:rFonts w:cs="TimesNewRoman"/>
          <w:sz w:val="18"/>
          <w:szCs w:val="18"/>
        </w:rPr>
        <w:t xml:space="preserve"> has transferred control of the asset. If the transferee has no practical ability to sell the asset in its entirety to an unrelated third party without needing to impose additional restrictions on the transfer, the entity has retained control</w:t>
      </w:r>
      <w:r w:rsidRPr="00EC690A">
        <w:rPr>
          <w:sz w:val="18"/>
          <w:szCs w:val="18"/>
        </w:rPr>
        <w:t>.</w:t>
      </w:r>
    </w:p>
    <w:p w14:paraId="45EA0B82" w14:textId="77777777" w:rsidR="00A91B56" w:rsidRPr="00EC690A" w:rsidRDefault="00A91B56" w:rsidP="0038280C">
      <w:pPr>
        <w:spacing w:before="120"/>
        <w:jc w:val="both"/>
        <w:rPr>
          <w:sz w:val="18"/>
          <w:szCs w:val="18"/>
        </w:rPr>
      </w:pPr>
      <w:r w:rsidRPr="00EC690A">
        <w:rPr>
          <w:rFonts w:cs="TimesNewRoman"/>
          <w:sz w:val="18"/>
          <w:szCs w:val="18"/>
        </w:rPr>
        <w:t>Where the Company has transferred its rights to receive cash flows from an asset and has neither transferred nor retained substantially all the risks and rewards of the asset nor transferred control of the asset, the asset is recognised to the extent of the Company’s continuing involvement in the asset.</w:t>
      </w:r>
      <w:r w:rsidRPr="00EC690A">
        <w:rPr>
          <w:sz w:val="18"/>
          <w:szCs w:val="18"/>
        </w:rPr>
        <w:t xml:space="preserve"> </w:t>
      </w:r>
      <w:r w:rsidRPr="00EC690A">
        <w:rPr>
          <w:rFonts w:cs="TimesNewRoman"/>
          <w:sz w:val="18"/>
          <w:szCs w:val="18"/>
        </w:rPr>
        <w:t>Continuing involvement that takes the form of a guarantee over the transferred asset is measured at the lower of the original carrying amount of the asset and the maximum amount of consideration that the Company could be required to repay</w:t>
      </w:r>
      <w:r w:rsidRPr="00EC690A">
        <w:rPr>
          <w:sz w:val="18"/>
          <w:szCs w:val="18"/>
        </w:rPr>
        <w:t>.</w:t>
      </w:r>
    </w:p>
    <w:p w14:paraId="3EC84228" w14:textId="06AFF013" w:rsidR="00A91B56" w:rsidRPr="00EC690A" w:rsidRDefault="00A91B56" w:rsidP="00C66EEF">
      <w:pPr>
        <w:autoSpaceDE w:val="0"/>
        <w:autoSpaceDN w:val="0"/>
        <w:adjustRightInd w:val="0"/>
        <w:spacing w:before="240"/>
        <w:rPr>
          <w:rFonts w:cs="Courier New"/>
          <w:b/>
          <w:bCs/>
          <w:i/>
          <w:sz w:val="18"/>
          <w:szCs w:val="18"/>
        </w:rPr>
      </w:pPr>
      <w:bookmarkStart w:id="22" w:name="wp998782"/>
      <w:bookmarkStart w:id="23" w:name="wp998783"/>
      <w:bookmarkStart w:id="24" w:name="wp998784"/>
      <w:bookmarkStart w:id="25" w:name="wp998785"/>
      <w:bookmarkEnd w:id="22"/>
      <w:bookmarkEnd w:id="23"/>
      <w:bookmarkEnd w:id="24"/>
      <w:bookmarkEnd w:id="25"/>
      <w:r w:rsidRPr="00EC690A">
        <w:rPr>
          <w:rFonts w:cs="Courier New"/>
          <w:b/>
          <w:bCs/>
          <w:i/>
          <w:sz w:val="18"/>
          <w:szCs w:val="18"/>
        </w:rPr>
        <w:t>Insurance contracts - classification</w:t>
      </w:r>
    </w:p>
    <w:p w14:paraId="239EE0C2" w14:textId="77777777" w:rsidR="00A91B56" w:rsidRPr="00C66EEF" w:rsidRDefault="00A91B56" w:rsidP="0038280C">
      <w:pPr>
        <w:spacing w:before="120" w:after="120"/>
        <w:rPr>
          <w:rFonts w:cs="Arial"/>
          <w:sz w:val="18"/>
          <w:szCs w:val="18"/>
        </w:rPr>
      </w:pPr>
      <w:r w:rsidRPr="00C66EEF">
        <w:rPr>
          <w:rFonts w:cs="Arial"/>
          <w:sz w:val="18"/>
          <w:szCs w:val="18"/>
        </w:rPr>
        <w:t xml:space="preserve">The Company </w:t>
      </w:r>
      <w:proofErr w:type="gramStart"/>
      <w:r w:rsidRPr="00C66EEF">
        <w:rPr>
          <w:rFonts w:cs="Arial"/>
          <w:sz w:val="18"/>
          <w:szCs w:val="18"/>
        </w:rPr>
        <w:t>enters into</w:t>
      </w:r>
      <w:proofErr w:type="gramEnd"/>
      <w:r w:rsidRPr="00C66EEF">
        <w:rPr>
          <w:rFonts w:cs="Arial"/>
          <w:sz w:val="18"/>
          <w:szCs w:val="18"/>
        </w:rPr>
        <w:t xml:space="preserve"> contracts which have insurance or financial risk, or both.</w:t>
      </w:r>
    </w:p>
    <w:p w14:paraId="21213F5B" w14:textId="77777777" w:rsidR="00A91B56" w:rsidRPr="00EC690A" w:rsidRDefault="00A91B56" w:rsidP="0038280C">
      <w:pPr>
        <w:shd w:val="clear" w:color="auto" w:fill="FFFFFF"/>
        <w:spacing w:before="120" w:after="120"/>
        <w:ind w:left="5" w:right="10"/>
        <w:rPr>
          <w:sz w:val="18"/>
          <w:szCs w:val="18"/>
        </w:rPr>
      </w:pPr>
      <w:r w:rsidRPr="00EC690A">
        <w:rPr>
          <w:sz w:val="18"/>
          <w:szCs w:val="18"/>
        </w:rPr>
        <w:t xml:space="preserve">Insurance contracts are contracts where one party (the insurer) accepts a substantial insurance risk from the other party (the insured), agreeing to make payment to the insured upon occurrence in the future of the agreed unforeseen event (insured event) which had an adverse effect on the reinsured. </w:t>
      </w:r>
    </w:p>
    <w:p w14:paraId="13884779" w14:textId="77777777" w:rsidR="00A91B56" w:rsidRPr="00EC690A" w:rsidRDefault="00A91B56" w:rsidP="0038280C">
      <w:pPr>
        <w:shd w:val="clear" w:color="auto" w:fill="FFFFFF"/>
        <w:spacing w:before="120" w:after="120"/>
        <w:ind w:left="5" w:right="10"/>
        <w:rPr>
          <w:sz w:val="18"/>
          <w:szCs w:val="18"/>
        </w:rPr>
      </w:pPr>
      <w:r w:rsidRPr="00EC690A">
        <w:rPr>
          <w:sz w:val="18"/>
          <w:szCs w:val="18"/>
        </w:rPr>
        <w:t xml:space="preserve">Such contracts are also exposed to financial risk. </w:t>
      </w:r>
    </w:p>
    <w:p w14:paraId="6E2AB662" w14:textId="77777777" w:rsidR="00A91B56" w:rsidRPr="00EC690A" w:rsidRDefault="00A91B56" w:rsidP="0038280C">
      <w:pPr>
        <w:spacing w:before="120" w:after="120"/>
        <w:jc w:val="both"/>
        <w:rPr>
          <w:sz w:val="18"/>
          <w:szCs w:val="18"/>
        </w:rPr>
      </w:pPr>
      <w:r w:rsidRPr="00EC690A">
        <w:rPr>
          <w:sz w:val="18"/>
          <w:szCs w:val="18"/>
        </w:rPr>
        <w:t>Insurance risk arises when at least one of the following is uncertain at the inception of the insurance contract:</w:t>
      </w:r>
    </w:p>
    <w:p w14:paraId="77A3CE1A" w14:textId="77777777"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whether an insured event will occur;</w:t>
      </w:r>
    </w:p>
    <w:p w14:paraId="6226A910" w14:textId="77777777"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when it will occur; or</w:t>
      </w:r>
    </w:p>
    <w:p w14:paraId="0030C121" w14:textId="77777777"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how much the insurer will need to pay if it occurs.</w:t>
      </w:r>
    </w:p>
    <w:p w14:paraId="696DBB32" w14:textId="77777777" w:rsidR="00A91B56" w:rsidRPr="00EC690A" w:rsidRDefault="00A91B56" w:rsidP="0038280C">
      <w:pPr>
        <w:shd w:val="clear" w:color="auto" w:fill="FFFFFF"/>
        <w:spacing w:before="120" w:after="120"/>
        <w:ind w:left="5" w:right="10"/>
        <w:jc w:val="both"/>
        <w:rPr>
          <w:sz w:val="18"/>
          <w:szCs w:val="18"/>
        </w:rPr>
      </w:pPr>
      <w:r w:rsidRPr="00EC690A">
        <w:rPr>
          <w:sz w:val="18"/>
          <w:szCs w:val="18"/>
        </w:rPr>
        <w:t>The Company does not consider the following risks as insurance risks:</w:t>
      </w:r>
    </w:p>
    <w:p w14:paraId="31B34D73" w14:textId="77777777"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financial risk;</w:t>
      </w:r>
    </w:p>
    <w:p w14:paraId="46AF064D" w14:textId="77777777"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risk that did not exist before the conclusion of the contract and resulted from its signing;</w:t>
      </w:r>
    </w:p>
    <w:p w14:paraId="4391836D" w14:textId="77777777"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risk of cancellation (prolongation) of the contract earlier than the issuer expected when determining the contract price;</w:t>
      </w:r>
    </w:p>
    <w:p w14:paraId="406BC311" w14:textId="77777777"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risk of unforeseen increase in administrative expenses related to the contract.</w:t>
      </w:r>
    </w:p>
    <w:p w14:paraId="01272E2F" w14:textId="77777777" w:rsidR="00A91B56" w:rsidRPr="00EC690A" w:rsidRDefault="00A91B56" w:rsidP="0038280C">
      <w:pPr>
        <w:spacing w:before="120" w:after="120"/>
        <w:jc w:val="both"/>
        <w:rPr>
          <w:sz w:val="18"/>
          <w:szCs w:val="18"/>
        </w:rPr>
      </w:pPr>
      <w:r w:rsidRPr="00EC690A">
        <w:rPr>
          <w:sz w:val="18"/>
          <w:szCs w:val="18"/>
        </w:rPr>
        <w:lastRenderedPageBreak/>
        <w:t xml:space="preserve">The Company classifies a contract as an insurance contract only if it cedes significant insurance risk. </w:t>
      </w:r>
    </w:p>
    <w:p w14:paraId="57236DBB" w14:textId="77777777" w:rsidR="00A91B56" w:rsidRPr="00EC690A" w:rsidRDefault="00A91B56" w:rsidP="0038280C">
      <w:pPr>
        <w:spacing w:before="120" w:after="120"/>
        <w:jc w:val="both"/>
        <w:rPr>
          <w:kern w:val="32"/>
          <w:sz w:val="18"/>
          <w:szCs w:val="18"/>
        </w:rPr>
      </w:pPr>
      <w:r w:rsidRPr="00EC690A">
        <w:rPr>
          <w:sz w:val="18"/>
          <w:szCs w:val="18"/>
        </w:rPr>
        <w:t>Insurance risk is significant if, and only if, an insured event could cause the Company to pay significant additional benefits in any scenario, excluding scenarios that lack commercial substance (i.e. have no discernible effect on the economics of the transaction).</w:t>
      </w:r>
    </w:p>
    <w:p w14:paraId="053582AB" w14:textId="77777777" w:rsidR="00A91B56" w:rsidRPr="00EC690A" w:rsidRDefault="00A91B56" w:rsidP="0038280C">
      <w:pPr>
        <w:spacing w:before="120" w:after="120"/>
        <w:jc w:val="both"/>
        <w:rPr>
          <w:sz w:val="18"/>
          <w:szCs w:val="18"/>
        </w:rPr>
      </w:pPr>
      <w:r w:rsidRPr="00EC690A">
        <w:rPr>
          <w:rFonts w:cs="Wingdings"/>
          <w:sz w:val="18"/>
          <w:szCs w:val="18"/>
        </w:rPr>
        <w:t>As a general guideline, the Company defines as significant insurance risk the possibility of having to pay benefits on the occurrence of an insured event that are at least 10% more than the benefits payable if the insured event did not occur.</w:t>
      </w:r>
    </w:p>
    <w:p w14:paraId="6974650F" w14:textId="77777777" w:rsidR="00A91B56" w:rsidRPr="00EC690A" w:rsidRDefault="00A91B56" w:rsidP="00A91B56">
      <w:pPr>
        <w:autoSpaceDE w:val="0"/>
        <w:autoSpaceDN w:val="0"/>
        <w:adjustRightInd w:val="0"/>
        <w:spacing w:before="240"/>
        <w:rPr>
          <w:rFonts w:cs="Courier New"/>
          <w:b/>
          <w:bCs/>
          <w:i/>
          <w:sz w:val="18"/>
          <w:szCs w:val="18"/>
        </w:rPr>
      </w:pPr>
      <w:r w:rsidRPr="00EC690A">
        <w:rPr>
          <w:rFonts w:cs="Courier New"/>
          <w:b/>
          <w:bCs/>
          <w:i/>
          <w:sz w:val="18"/>
          <w:szCs w:val="18"/>
        </w:rPr>
        <w:t>Description of insurance products</w:t>
      </w:r>
    </w:p>
    <w:p w14:paraId="3155DFDE" w14:textId="77777777" w:rsidR="00A91B56" w:rsidRPr="00EC690A" w:rsidRDefault="00A91B56" w:rsidP="0038280C">
      <w:pPr>
        <w:shd w:val="clear" w:color="auto" w:fill="FFFFFF"/>
        <w:spacing w:before="120" w:after="120"/>
        <w:ind w:left="11" w:right="11"/>
        <w:rPr>
          <w:sz w:val="18"/>
          <w:szCs w:val="18"/>
        </w:rPr>
      </w:pPr>
      <w:r w:rsidRPr="00EC690A">
        <w:rPr>
          <w:spacing w:val="-1"/>
          <w:sz w:val="18"/>
          <w:szCs w:val="18"/>
        </w:rPr>
        <w:t xml:space="preserve">The Company accepts for insurance the following insurance risks and portfolios: </w:t>
      </w:r>
    </w:p>
    <w:p w14:paraId="467A254F" w14:textId="77777777" w:rsidR="00A91B56" w:rsidRPr="00EC690A" w:rsidRDefault="00A91B56" w:rsidP="00A91B56">
      <w:pPr>
        <w:numPr>
          <w:ilvl w:val="0"/>
          <w:numId w:val="11"/>
        </w:numPr>
        <w:tabs>
          <w:tab w:val="clear" w:pos="1080"/>
          <w:tab w:val="num" w:pos="426"/>
          <w:tab w:val="num" w:pos="720"/>
        </w:tabs>
        <w:spacing w:before="120" w:after="120"/>
        <w:ind w:left="425" w:hanging="425"/>
        <w:contextualSpacing/>
        <w:jc w:val="both"/>
        <w:rPr>
          <w:rFonts w:cs="TimesNewRoman"/>
          <w:sz w:val="18"/>
          <w:szCs w:val="18"/>
        </w:rPr>
      </w:pPr>
      <w:r w:rsidRPr="00EC690A">
        <w:rPr>
          <w:rFonts w:cs="TimesNewRoman"/>
          <w:sz w:val="18"/>
          <w:szCs w:val="18"/>
        </w:rPr>
        <w:t>Insurance from fire;</w:t>
      </w:r>
    </w:p>
    <w:p w14:paraId="56F6237C" w14:textId="77777777" w:rsidR="00A91B56" w:rsidRPr="00EC690A" w:rsidRDefault="00A91B56" w:rsidP="00A91B56">
      <w:pPr>
        <w:numPr>
          <w:ilvl w:val="0"/>
          <w:numId w:val="11"/>
        </w:numPr>
        <w:tabs>
          <w:tab w:val="clear" w:pos="1080"/>
          <w:tab w:val="num" w:pos="426"/>
          <w:tab w:val="num" w:pos="720"/>
        </w:tabs>
        <w:spacing w:before="120" w:after="120"/>
        <w:ind w:left="425" w:hanging="425"/>
        <w:contextualSpacing/>
        <w:jc w:val="both"/>
        <w:rPr>
          <w:rFonts w:cs="TimesNewRoman"/>
          <w:sz w:val="18"/>
          <w:szCs w:val="18"/>
        </w:rPr>
      </w:pPr>
      <w:r w:rsidRPr="00EC690A">
        <w:rPr>
          <w:rFonts w:cs="TimesNewRoman"/>
          <w:sz w:val="18"/>
          <w:szCs w:val="18"/>
        </w:rPr>
        <w:t>Vehicle insurance;</w:t>
      </w:r>
    </w:p>
    <w:p w14:paraId="3BBC3971" w14:textId="77777777" w:rsidR="00A91B56" w:rsidRPr="00EC690A" w:rsidRDefault="00A91B56" w:rsidP="00A91B56">
      <w:pPr>
        <w:numPr>
          <w:ilvl w:val="0"/>
          <w:numId w:val="11"/>
        </w:numPr>
        <w:tabs>
          <w:tab w:val="clear" w:pos="1080"/>
          <w:tab w:val="num" w:pos="426"/>
          <w:tab w:val="num" w:pos="720"/>
        </w:tabs>
        <w:spacing w:before="120" w:after="120"/>
        <w:ind w:left="425" w:hanging="425"/>
        <w:contextualSpacing/>
        <w:jc w:val="both"/>
        <w:rPr>
          <w:rFonts w:cs="TimesNewRoman"/>
          <w:sz w:val="18"/>
          <w:szCs w:val="18"/>
        </w:rPr>
      </w:pPr>
      <w:r w:rsidRPr="00EC690A">
        <w:rPr>
          <w:rFonts w:cs="TimesNewRoman"/>
          <w:sz w:val="18"/>
          <w:szCs w:val="18"/>
        </w:rPr>
        <w:t>Liability insurance;</w:t>
      </w:r>
    </w:p>
    <w:p w14:paraId="3EF48562" w14:textId="77777777" w:rsidR="00A91B56" w:rsidRPr="00EC690A" w:rsidRDefault="00A91B56" w:rsidP="00A91B56">
      <w:pPr>
        <w:numPr>
          <w:ilvl w:val="0"/>
          <w:numId w:val="11"/>
        </w:numPr>
        <w:tabs>
          <w:tab w:val="clear" w:pos="1080"/>
          <w:tab w:val="num" w:pos="426"/>
          <w:tab w:val="num" w:pos="720"/>
        </w:tabs>
        <w:spacing w:before="120" w:after="120"/>
        <w:ind w:left="425" w:hanging="425"/>
        <w:contextualSpacing/>
        <w:jc w:val="both"/>
        <w:rPr>
          <w:rFonts w:cs="TimesNewRoman"/>
          <w:sz w:val="18"/>
          <w:szCs w:val="18"/>
        </w:rPr>
      </w:pPr>
      <w:r w:rsidRPr="00EC690A">
        <w:rPr>
          <w:rFonts w:cs="TimesNewRoman"/>
          <w:sz w:val="18"/>
          <w:szCs w:val="18"/>
        </w:rPr>
        <w:t>Travel insurance;</w:t>
      </w:r>
      <w:r w:rsidRPr="00EC690A">
        <w:rPr>
          <w:rFonts w:cs="TimesNewRoman"/>
          <w:sz w:val="18"/>
          <w:szCs w:val="18"/>
        </w:rPr>
        <w:tab/>
      </w:r>
    </w:p>
    <w:p w14:paraId="45ADD891" w14:textId="77777777" w:rsidR="00A91B56" w:rsidRPr="00EC690A" w:rsidRDefault="00A91B56" w:rsidP="00A91B56">
      <w:pPr>
        <w:numPr>
          <w:ilvl w:val="0"/>
          <w:numId w:val="11"/>
        </w:numPr>
        <w:tabs>
          <w:tab w:val="clear" w:pos="1080"/>
          <w:tab w:val="num" w:pos="426"/>
          <w:tab w:val="num" w:pos="720"/>
        </w:tabs>
        <w:spacing w:before="120" w:after="120"/>
        <w:ind w:left="425" w:hanging="425"/>
        <w:contextualSpacing/>
        <w:jc w:val="both"/>
        <w:rPr>
          <w:rFonts w:cs="TimesNewRoman"/>
          <w:sz w:val="18"/>
          <w:szCs w:val="18"/>
        </w:rPr>
      </w:pPr>
      <w:r w:rsidRPr="00EC690A">
        <w:rPr>
          <w:rFonts w:cs="TimesNewRoman"/>
          <w:sz w:val="18"/>
          <w:szCs w:val="18"/>
        </w:rPr>
        <w:t>Medical insurance;</w:t>
      </w:r>
      <w:r w:rsidRPr="00EC690A">
        <w:rPr>
          <w:rFonts w:cs="TimesNewRoman"/>
          <w:sz w:val="18"/>
          <w:szCs w:val="18"/>
        </w:rPr>
        <w:tab/>
      </w:r>
    </w:p>
    <w:p w14:paraId="238BA2F5" w14:textId="6423ED2B" w:rsidR="00A91B56" w:rsidRPr="00EC690A" w:rsidRDefault="00A91B56" w:rsidP="0038280C">
      <w:pPr>
        <w:numPr>
          <w:ilvl w:val="0"/>
          <w:numId w:val="11"/>
        </w:numPr>
        <w:tabs>
          <w:tab w:val="clear" w:pos="1080"/>
          <w:tab w:val="num" w:pos="426"/>
          <w:tab w:val="num" w:pos="720"/>
        </w:tabs>
        <w:spacing w:before="120" w:after="120"/>
        <w:ind w:left="425" w:hanging="425"/>
        <w:jc w:val="both"/>
        <w:rPr>
          <w:rFonts w:cs="TimesNewRoman"/>
          <w:sz w:val="18"/>
          <w:szCs w:val="18"/>
        </w:rPr>
      </w:pPr>
      <w:r w:rsidRPr="00EC690A">
        <w:rPr>
          <w:rFonts w:cs="TimesNewRoman"/>
          <w:sz w:val="18"/>
          <w:szCs w:val="18"/>
        </w:rPr>
        <w:t xml:space="preserve">Other </w:t>
      </w:r>
      <w:r w:rsidR="0038280C">
        <w:rPr>
          <w:rFonts w:cs="TimesNewRoman"/>
          <w:sz w:val="18"/>
          <w:szCs w:val="18"/>
        </w:rPr>
        <w:t>non-life insuran</w:t>
      </w:r>
      <w:r w:rsidR="001B5066">
        <w:rPr>
          <w:rFonts w:cs="TimesNewRoman"/>
          <w:sz w:val="18"/>
          <w:szCs w:val="18"/>
        </w:rPr>
        <w:t>c</w:t>
      </w:r>
      <w:r w:rsidR="0038280C">
        <w:rPr>
          <w:rFonts w:cs="TimesNewRoman"/>
          <w:sz w:val="18"/>
          <w:szCs w:val="18"/>
        </w:rPr>
        <w:t>e</w:t>
      </w:r>
      <w:r w:rsidRPr="00EC690A">
        <w:rPr>
          <w:rFonts w:cs="TimesNewRoman"/>
          <w:sz w:val="18"/>
          <w:szCs w:val="18"/>
        </w:rPr>
        <w:t>.</w:t>
      </w:r>
    </w:p>
    <w:p w14:paraId="3496F478" w14:textId="77777777" w:rsidR="00A91B56" w:rsidRPr="00EC690A" w:rsidRDefault="00A91B56" w:rsidP="0038280C">
      <w:pPr>
        <w:spacing w:before="120" w:after="120"/>
        <w:jc w:val="both"/>
        <w:rPr>
          <w:sz w:val="18"/>
          <w:szCs w:val="18"/>
        </w:rPr>
      </w:pPr>
      <w:r w:rsidRPr="00EC690A">
        <w:rPr>
          <w:b/>
          <w:i/>
          <w:sz w:val="18"/>
          <w:szCs w:val="18"/>
        </w:rPr>
        <w:t>Insurance premiums.</w:t>
      </w:r>
      <w:r w:rsidRPr="00EC690A">
        <w:rPr>
          <w:b/>
          <w:sz w:val="18"/>
          <w:szCs w:val="18"/>
        </w:rPr>
        <w:t xml:space="preserve"> </w:t>
      </w:r>
      <w:r w:rsidRPr="00EC690A">
        <w:rPr>
          <w:sz w:val="18"/>
          <w:szCs w:val="18"/>
        </w:rPr>
        <w:t xml:space="preserve">Premiums under insurance contracts are recorded as revenue on the date the insurance risk is assumed. The provision for unearned premiums is recognised on the same date and is subsequently recorded as income in proportion to the contract term. </w:t>
      </w:r>
    </w:p>
    <w:p w14:paraId="51256E2B" w14:textId="77777777" w:rsidR="00A91B56" w:rsidRPr="00EC690A" w:rsidRDefault="00A91B56" w:rsidP="0038280C">
      <w:pPr>
        <w:spacing w:before="120" w:after="120"/>
        <w:jc w:val="both"/>
        <w:rPr>
          <w:sz w:val="18"/>
          <w:szCs w:val="18"/>
        </w:rPr>
      </w:pPr>
      <w:r w:rsidRPr="00EC690A">
        <w:rPr>
          <w:b/>
          <w:i/>
          <w:sz w:val="18"/>
          <w:szCs w:val="18"/>
        </w:rPr>
        <w:t>Provision for unearned premiums.</w:t>
      </w:r>
      <w:r w:rsidRPr="00EC690A">
        <w:rPr>
          <w:b/>
          <w:sz w:val="18"/>
          <w:szCs w:val="18"/>
        </w:rPr>
        <w:t xml:space="preserve"> </w:t>
      </w:r>
      <w:r w:rsidRPr="00EC690A">
        <w:rPr>
          <w:sz w:val="18"/>
          <w:szCs w:val="18"/>
        </w:rPr>
        <w:t>Provision for unearned premiums represents the portion of premiums written applicable to the unexpired term of the insurance contract as at the reporting date.</w:t>
      </w:r>
    </w:p>
    <w:p w14:paraId="3A7FCAA8" w14:textId="77777777" w:rsidR="00A91B56" w:rsidRPr="00EC690A" w:rsidRDefault="00A91B56" w:rsidP="0038280C">
      <w:pPr>
        <w:spacing w:before="120" w:after="120"/>
        <w:jc w:val="both"/>
        <w:rPr>
          <w:sz w:val="18"/>
          <w:szCs w:val="18"/>
        </w:rPr>
      </w:pPr>
      <w:r w:rsidRPr="00EC690A">
        <w:rPr>
          <w:b/>
          <w:i/>
          <w:sz w:val="18"/>
          <w:szCs w:val="18"/>
        </w:rPr>
        <w:t>Claims adjustment expenses.</w:t>
      </w:r>
      <w:r w:rsidRPr="00EC690A">
        <w:rPr>
          <w:b/>
          <w:sz w:val="18"/>
          <w:szCs w:val="18"/>
        </w:rPr>
        <w:t xml:space="preserve"> </w:t>
      </w:r>
      <w:r w:rsidRPr="00EC690A">
        <w:rPr>
          <w:sz w:val="18"/>
          <w:szCs w:val="18"/>
        </w:rPr>
        <w:t xml:space="preserve">Claims adjustment expenses are recorded in the statement of comprehensive income as incurred. </w:t>
      </w:r>
    </w:p>
    <w:p w14:paraId="1B1A7083" w14:textId="77777777" w:rsidR="00A91B56" w:rsidRPr="00EC690A" w:rsidRDefault="00A91B56" w:rsidP="0038280C">
      <w:pPr>
        <w:spacing w:before="120" w:after="120"/>
        <w:jc w:val="both"/>
        <w:rPr>
          <w:sz w:val="18"/>
          <w:szCs w:val="18"/>
        </w:rPr>
      </w:pPr>
      <w:r w:rsidRPr="00EC690A">
        <w:rPr>
          <w:b/>
          <w:i/>
          <w:sz w:val="18"/>
          <w:szCs w:val="18"/>
        </w:rPr>
        <w:t>Provisions for claims.</w:t>
      </w:r>
      <w:r w:rsidRPr="00EC690A">
        <w:rPr>
          <w:b/>
          <w:sz w:val="18"/>
          <w:szCs w:val="18"/>
        </w:rPr>
        <w:t xml:space="preserve"> </w:t>
      </w:r>
      <w:r w:rsidRPr="00EC690A">
        <w:rPr>
          <w:sz w:val="18"/>
          <w:szCs w:val="18"/>
        </w:rPr>
        <w:t>Provisions for claims are the estimated liability to settle future claims and include the provision for claims reported but not paid (RBNP) and provision for claims</w:t>
      </w:r>
      <w:r w:rsidRPr="00EC690A">
        <w:rPr>
          <w:rFonts w:cs="Optima"/>
          <w:color w:val="000000"/>
          <w:sz w:val="18"/>
          <w:szCs w:val="18"/>
        </w:rPr>
        <w:t xml:space="preserve"> incurred but not reported (IBNR)</w:t>
      </w:r>
      <w:r w:rsidRPr="00EC690A">
        <w:rPr>
          <w:sz w:val="18"/>
          <w:szCs w:val="18"/>
        </w:rPr>
        <w:t xml:space="preserve">. The estimated claims adjustment expenses are included in RBNP and IBNR. RBNP is set up based on the claims that were reported but are still outstanding at the reporting date. The estimate is made </w:t>
      </w:r>
      <w:proofErr w:type="gramStart"/>
      <w:r w:rsidRPr="00EC690A">
        <w:rPr>
          <w:sz w:val="18"/>
          <w:szCs w:val="18"/>
        </w:rPr>
        <w:t>on the basis of</w:t>
      </w:r>
      <w:proofErr w:type="gramEnd"/>
      <w:r w:rsidRPr="00EC690A">
        <w:rPr>
          <w:sz w:val="18"/>
          <w:szCs w:val="18"/>
        </w:rPr>
        <w:t xml:space="preserve"> the information obtained by the Company when the insured events are considered, including information obtained subsequent to the reporting date. IBNR is actuarially estimated by the Company by each class of insurance business based on historical payment patterns for prior claims. The methods applied to estimate the provisions are regularly reviewed. The resulting adjustments are recorded in the statement of comprehensive income as they arise. The claims provision is estimated on an undiscounted basis, as the period between the claim filing and its settlement is rather short.</w:t>
      </w:r>
    </w:p>
    <w:p w14:paraId="20315F97" w14:textId="77777777" w:rsidR="00A91B56" w:rsidRPr="00EC690A" w:rsidRDefault="00A91B56" w:rsidP="0038280C">
      <w:pPr>
        <w:spacing w:before="120" w:after="120"/>
        <w:jc w:val="both"/>
        <w:rPr>
          <w:b/>
          <w:i/>
          <w:sz w:val="18"/>
          <w:szCs w:val="18"/>
        </w:rPr>
      </w:pPr>
      <w:r w:rsidRPr="00EC690A">
        <w:rPr>
          <w:b/>
          <w:i/>
          <w:sz w:val="18"/>
          <w:szCs w:val="18"/>
        </w:rPr>
        <w:t>Unexpired risk provision.</w:t>
      </w:r>
      <w:r w:rsidRPr="00EC690A">
        <w:rPr>
          <w:b/>
          <w:sz w:val="18"/>
          <w:szCs w:val="18"/>
        </w:rPr>
        <w:t xml:space="preserve"> </w:t>
      </w:r>
      <w:r w:rsidRPr="00EC690A">
        <w:rPr>
          <w:sz w:val="18"/>
          <w:szCs w:val="18"/>
        </w:rPr>
        <w:t>Unexpired risk provision is made for any deficiencies arising when unearned premiums are insufficient to meet expected claims and expenses to be borne by the Company after the end of the financial year under insurance contracts in effect at the reporting date. Unexpired risk provision is based upon loss development historical patterns and future loss projections (including claims adjustment expenses), and the level of expenses required to cover the current portfolio. Expected losses are calculated having regard to events that have occurred prior to the reporting date. For the financial reporting purposes the provision for unexpired risk is written off against deferred acquisition costs.</w:t>
      </w:r>
    </w:p>
    <w:p w14:paraId="212CE352" w14:textId="77777777" w:rsidR="00A91B56" w:rsidRPr="00EC690A" w:rsidRDefault="00A91B56" w:rsidP="001B5066">
      <w:pPr>
        <w:spacing w:before="240"/>
        <w:jc w:val="both"/>
        <w:rPr>
          <w:rFonts w:cs="Courier New"/>
          <w:b/>
          <w:bCs/>
          <w:i/>
          <w:sz w:val="18"/>
          <w:szCs w:val="18"/>
        </w:rPr>
      </w:pPr>
      <w:r w:rsidRPr="00EC690A">
        <w:rPr>
          <w:rFonts w:cs="Courier New"/>
          <w:b/>
          <w:bCs/>
          <w:i/>
          <w:sz w:val="18"/>
          <w:szCs w:val="18"/>
        </w:rPr>
        <w:t>Reinsurance</w:t>
      </w:r>
    </w:p>
    <w:p w14:paraId="521994DC" w14:textId="77777777" w:rsidR="00A91B56" w:rsidRPr="00EC690A" w:rsidRDefault="00A91B56" w:rsidP="0038280C">
      <w:pPr>
        <w:shd w:val="clear" w:color="auto" w:fill="FFFFFF"/>
        <w:spacing w:before="120" w:after="120"/>
        <w:ind w:right="10"/>
        <w:jc w:val="both"/>
        <w:rPr>
          <w:sz w:val="18"/>
          <w:szCs w:val="18"/>
        </w:rPr>
      </w:pPr>
      <w:r w:rsidRPr="00EC690A">
        <w:rPr>
          <w:sz w:val="18"/>
          <w:szCs w:val="18"/>
        </w:rPr>
        <w:t xml:space="preserve">The Company cedes reinsurance in the normal course of business. </w:t>
      </w:r>
      <w:r w:rsidRPr="00EC690A">
        <w:rPr>
          <w:rFonts w:cs="Albertus MT"/>
          <w:sz w:val="18"/>
          <w:szCs w:val="18"/>
        </w:rPr>
        <w:t>Reinsurance does not extinguish the Company’s liability to its customers.</w:t>
      </w:r>
      <w:r w:rsidRPr="00EC690A">
        <w:rPr>
          <w:sz w:val="18"/>
          <w:szCs w:val="18"/>
        </w:rPr>
        <w:t xml:space="preserve"> </w:t>
      </w:r>
    </w:p>
    <w:p w14:paraId="3A708E1E" w14:textId="77777777" w:rsidR="00A91B56" w:rsidRPr="00EC690A" w:rsidRDefault="00A91B56" w:rsidP="0038280C">
      <w:pPr>
        <w:shd w:val="clear" w:color="auto" w:fill="FFFFFF"/>
        <w:spacing w:before="120" w:after="120"/>
        <w:ind w:right="10"/>
        <w:jc w:val="both"/>
        <w:rPr>
          <w:sz w:val="18"/>
          <w:szCs w:val="18"/>
        </w:rPr>
      </w:pPr>
      <w:r w:rsidRPr="00EC690A">
        <w:rPr>
          <w:rFonts w:cs="Wingdings"/>
          <w:sz w:val="18"/>
          <w:szCs w:val="18"/>
        </w:rPr>
        <w:t>Amounts recoverable from or due to reinsurers are measured consistently with the amounts associated with the reinsured insurance contracts and in accordance with the terms of each reinsurance contract.</w:t>
      </w:r>
      <w:r w:rsidRPr="00EC690A">
        <w:rPr>
          <w:spacing w:val="-1"/>
          <w:sz w:val="18"/>
          <w:szCs w:val="18"/>
        </w:rPr>
        <w:t xml:space="preserve"> </w:t>
      </w:r>
      <w:r w:rsidRPr="00EC690A">
        <w:rPr>
          <w:sz w:val="18"/>
          <w:szCs w:val="18"/>
        </w:rPr>
        <w:t>Reinsured assets comprise receivables from reinsurers on settled claims, including claims handling expenses</w:t>
      </w:r>
      <w:r w:rsidRPr="00EC690A">
        <w:rPr>
          <w:spacing w:val="-1"/>
          <w:sz w:val="18"/>
          <w:szCs w:val="18"/>
        </w:rPr>
        <w:t xml:space="preserve">, reinsurers’ share of claims provision and deferred acquisition costs. Reinsurance payables are </w:t>
      </w:r>
      <w:r w:rsidRPr="00EC690A">
        <w:rPr>
          <w:rFonts w:cs="Wingdings"/>
          <w:sz w:val="18"/>
          <w:szCs w:val="18"/>
        </w:rPr>
        <w:t>the Company’s liabilities in respect of premiums payable for reinsurance.</w:t>
      </w:r>
    </w:p>
    <w:p w14:paraId="0B08F8B5" w14:textId="77777777" w:rsidR="00A91B56" w:rsidRPr="00EC690A" w:rsidRDefault="00A91B56" w:rsidP="0038280C">
      <w:pPr>
        <w:spacing w:before="120" w:after="120"/>
        <w:jc w:val="both"/>
        <w:rPr>
          <w:sz w:val="18"/>
          <w:szCs w:val="18"/>
        </w:rPr>
      </w:pPr>
      <w:r w:rsidRPr="00EC690A">
        <w:rPr>
          <w:sz w:val="18"/>
          <w:szCs w:val="18"/>
        </w:rPr>
        <w:t>The Company assesses its reinsurance assets for impairment on a regular basis using the same accounting policies adopted for financial assets held at amortised cost. If there is objective evidence that the reinsurance asset is impaired, the Company reduces the carrying amount of the reinsurance asset to its recoverable amount and recognises that impairment loss in the statement of comprehensive income.</w:t>
      </w:r>
    </w:p>
    <w:p w14:paraId="7239E921" w14:textId="77777777" w:rsidR="00A91B56" w:rsidRPr="00EC690A" w:rsidRDefault="00A91B56" w:rsidP="001B5066">
      <w:pPr>
        <w:spacing w:before="240"/>
        <w:jc w:val="both"/>
        <w:rPr>
          <w:rFonts w:cs="Courier New"/>
          <w:b/>
          <w:bCs/>
          <w:i/>
          <w:sz w:val="18"/>
          <w:szCs w:val="18"/>
        </w:rPr>
      </w:pPr>
      <w:r w:rsidRPr="00EC690A">
        <w:rPr>
          <w:rFonts w:cs="Courier New"/>
          <w:b/>
          <w:bCs/>
          <w:i/>
          <w:sz w:val="18"/>
          <w:szCs w:val="18"/>
        </w:rPr>
        <w:t>Deferred commission income</w:t>
      </w:r>
    </w:p>
    <w:p w14:paraId="32B18BBA" w14:textId="586C44BB" w:rsidR="00A91B56" w:rsidRDefault="00A91B56" w:rsidP="001B5066">
      <w:pPr>
        <w:spacing w:before="120" w:after="120"/>
        <w:jc w:val="both"/>
        <w:rPr>
          <w:sz w:val="18"/>
          <w:szCs w:val="18"/>
        </w:rPr>
      </w:pPr>
      <w:r w:rsidRPr="00EC690A">
        <w:rPr>
          <w:sz w:val="18"/>
          <w:szCs w:val="18"/>
        </w:rPr>
        <w:t xml:space="preserve">Commission income represent commission associated with reinsurance business and is primarily related to the reinsurance of mandatory and voluntary insurance contracts. Commission income is deferred and </w:t>
      </w:r>
      <w:r w:rsidRPr="00EC690A">
        <w:rPr>
          <w:sz w:val="18"/>
          <w:szCs w:val="18"/>
        </w:rPr>
        <w:lastRenderedPageBreak/>
        <w:t>amortised over the contract period of reinsured policy. Commission income is estimated by each class of insurance.</w:t>
      </w:r>
    </w:p>
    <w:p w14:paraId="604A3868" w14:textId="77777777" w:rsidR="00A91B56" w:rsidRPr="00EC690A" w:rsidRDefault="00A91B56" w:rsidP="001B5066">
      <w:pPr>
        <w:spacing w:before="240"/>
        <w:jc w:val="both"/>
        <w:rPr>
          <w:rFonts w:cs="Courier New"/>
          <w:b/>
          <w:bCs/>
          <w:i/>
          <w:sz w:val="18"/>
          <w:szCs w:val="18"/>
        </w:rPr>
      </w:pPr>
      <w:r w:rsidRPr="00EC690A">
        <w:rPr>
          <w:rFonts w:cs="Courier New"/>
          <w:b/>
          <w:bCs/>
          <w:i/>
          <w:sz w:val="18"/>
          <w:szCs w:val="18"/>
        </w:rPr>
        <w:t>Deferred acquisition costs (“DAC”)</w:t>
      </w:r>
    </w:p>
    <w:p w14:paraId="1A62E5D2" w14:textId="77777777" w:rsidR="00A91B56" w:rsidRPr="00EC690A" w:rsidRDefault="00A91B56" w:rsidP="0017799D">
      <w:pPr>
        <w:spacing w:before="120" w:after="120"/>
        <w:jc w:val="both"/>
        <w:rPr>
          <w:sz w:val="18"/>
          <w:szCs w:val="18"/>
        </w:rPr>
      </w:pPr>
      <w:r w:rsidRPr="00EC690A">
        <w:rPr>
          <w:sz w:val="18"/>
          <w:szCs w:val="18"/>
        </w:rPr>
        <w:t xml:space="preserve">Acquisition costs represent commission expenses associated with obtaining insurance business and vary with and are primarily related to the acquisition of new and renewal insurance contracts. Acquisition costs are deferred and amortised over the period in which the related premiums are earned. Deferred acquisition costs are estimated by each class of insurance. </w:t>
      </w:r>
      <w:r w:rsidRPr="0017799D">
        <w:rPr>
          <w:sz w:val="18"/>
          <w:szCs w:val="18"/>
        </w:rPr>
        <w:t xml:space="preserve">At the time of policy issue and each reporting date, </w:t>
      </w:r>
      <w:r w:rsidRPr="00EC690A">
        <w:rPr>
          <w:sz w:val="18"/>
          <w:szCs w:val="18"/>
        </w:rPr>
        <w:t>DAC are subject to recoverability testing by class of insurance based on future assumptions.</w:t>
      </w:r>
    </w:p>
    <w:p w14:paraId="5F175C50" w14:textId="77777777" w:rsidR="00A91B56" w:rsidRPr="00EC690A" w:rsidRDefault="00A91B56" w:rsidP="0017799D">
      <w:pPr>
        <w:spacing w:before="120" w:after="120"/>
        <w:jc w:val="both"/>
        <w:rPr>
          <w:sz w:val="18"/>
          <w:szCs w:val="18"/>
        </w:rPr>
      </w:pPr>
      <w:r w:rsidRPr="00EC690A">
        <w:rPr>
          <w:sz w:val="18"/>
          <w:szCs w:val="18"/>
        </w:rPr>
        <w:t>Acquisition costs on reinsurance, claim settlement and general and administrative expenses include personnel subsistence expenses, taxes other than income tax, depreciation, communication services, which are allocated among respective expense items subject to responsibilities of the Company’s officials and in proportion to actual time spent.</w:t>
      </w:r>
    </w:p>
    <w:p w14:paraId="1E3D5DA7" w14:textId="77777777" w:rsidR="00A91B56" w:rsidRPr="00EC690A" w:rsidRDefault="00A91B56" w:rsidP="0017799D">
      <w:pPr>
        <w:spacing w:before="240"/>
        <w:jc w:val="both"/>
        <w:rPr>
          <w:rFonts w:cs="Courier New"/>
          <w:b/>
          <w:bCs/>
          <w:i/>
          <w:sz w:val="18"/>
          <w:szCs w:val="18"/>
        </w:rPr>
      </w:pPr>
      <w:r w:rsidRPr="00EC690A">
        <w:rPr>
          <w:rFonts w:cs="Courier New"/>
          <w:b/>
          <w:bCs/>
          <w:i/>
          <w:sz w:val="18"/>
          <w:szCs w:val="18"/>
        </w:rPr>
        <w:t>Financial liabilities</w:t>
      </w:r>
    </w:p>
    <w:p w14:paraId="333E9B6C" w14:textId="77777777" w:rsidR="00A91B56" w:rsidRPr="00EC690A" w:rsidRDefault="00A91B56" w:rsidP="0017799D">
      <w:pPr>
        <w:spacing w:before="120" w:after="120"/>
        <w:jc w:val="both"/>
        <w:rPr>
          <w:bCs/>
          <w:sz w:val="18"/>
          <w:szCs w:val="18"/>
        </w:rPr>
      </w:pPr>
      <w:r w:rsidRPr="00EC690A">
        <w:rPr>
          <w:rFonts w:cs="TimesNewRomanPSMT"/>
          <w:iCs/>
          <w:sz w:val="18"/>
          <w:szCs w:val="18"/>
        </w:rPr>
        <w:t>Financial liabilities are classified as financial liabilities carried at amortised cost</w:t>
      </w:r>
      <w:r w:rsidRPr="00EC690A">
        <w:rPr>
          <w:bCs/>
          <w:sz w:val="18"/>
          <w:szCs w:val="18"/>
        </w:rPr>
        <w:t>.</w:t>
      </w:r>
    </w:p>
    <w:p w14:paraId="03DD4A37" w14:textId="77777777" w:rsidR="00A91B56" w:rsidRPr="00EC690A" w:rsidRDefault="00A91B56" w:rsidP="0017799D">
      <w:pPr>
        <w:spacing w:before="120" w:after="120"/>
        <w:jc w:val="both"/>
        <w:rPr>
          <w:sz w:val="18"/>
          <w:szCs w:val="18"/>
        </w:rPr>
      </w:pPr>
      <w:r w:rsidRPr="00EC690A">
        <w:rPr>
          <w:sz w:val="18"/>
          <w:szCs w:val="18"/>
        </w:rPr>
        <w:t>Initially, a financial liability shall be measured by the Company at its fair value</w:t>
      </w:r>
      <w:r w:rsidRPr="00EC690A">
        <w:rPr>
          <w:rFonts w:cs="TimesNewRoman"/>
          <w:sz w:val="18"/>
          <w:szCs w:val="18"/>
        </w:rPr>
        <w:t xml:space="preserve"> plus transaction costs that are directly attributable to the acquisition or issue of the financial liability.</w:t>
      </w:r>
    </w:p>
    <w:p w14:paraId="5B74DA80" w14:textId="77777777" w:rsidR="00A91B56" w:rsidRPr="00EC690A" w:rsidRDefault="00A91B56" w:rsidP="0017799D">
      <w:pPr>
        <w:spacing w:before="120" w:after="120"/>
        <w:jc w:val="both"/>
        <w:rPr>
          <w:sz w:val="18"/>
          <w:szCs w:val="18"/>
        </w:rPr>
      </w:pPr>
      <w:r w:rsidRPr="00EC690A">
        <w:rPr>
          <w:rFonts w:cs="TimesNewRomanPSMT"/>
          <w:sz w:val="18"/>
          <w:szCs w:val="18"/>
        </w:rPr>
        <w:t>A financial liability is derecognised when the obligation under the liability is discharged or cancelled or expires</w:t>
      </w:r>
      <w:r w:rsidRPr="00EC690A">
        <w:rPr>
          <w:sz w:val="18"/>
          <w:szCs w:val="18"/>
        </w:rPr>
        <w:t>.</w:t>
      </w:r>
    </w:p>
    <w:p w14:paraId="2CEF3505" w14:textId="77777777" w:rsidR="00A91B56" w:rsidRPr="00EC690A" w:rsidRDefault="00A91B56" w:rsidP="0017799D">
      <w:pPr>
        <w:spacing w:before="120" w:after="120"/>
        <w:jc w:val="both"/>
        <w:rPr>
          <w:sz w:val="18"/>
          <w:szCs w:val="18"/>
        </w:rPr>
      </w:pPr>
      <w:r w:rsidRPr="00EC690A">
        <w:rPr>
          <w:rFonts w:cs="TimesNewRomanPSMT"/>
          <w:sz w:val="18"/>
          <w:szCs w:val="18"/>
        </w:rPr>
        <w:t>Where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and the difference in the respective carrying amounts is recognised in the statement of comprehensive income</w:t>
      </w:r>
      <w:r w:rsidRPr="00EC690A">
        <w:rPr>
          <w:sz w:val="18"/>
          <w:szCs w:val="18"/>
        </w:rPr>
        <w:t>.</w:t>
      </w:r>
    </w:p>
    <w:p w14:paraId="6FD1D675" w14:textId="77777777" w:rsidR="00A91B56" w:rsidRPr="00EC690A" w:rsidRDefault="00A91B56" w:rsidP="0017799D">
      <w:pPr>
        <w:spacing w:before="240"/>
        <w:jc w:val="both"/>
        <w:rPr>
          <w:rFonts w:cs="Courier New"/>
          <w:b/>
          <w:bCs/>
          <w:i/>
          <w:sz w:val="18"/>
          <w:szCs w:val="18"/>
        </w:rPr>
      </w:pPr>
      <w:r w:rsidRPr="00EC690A">
        <w:rPr>
          <w:rFonts w:cs="Courier New"/>
          <w:b/>
          <w:bCs/>
          <w:i/>
          <w:sz w:val="18"/>
          <w:szCs w:val="18"/>
        </w:rPr>
        <w:t>Financial liabilities carried at amortised cost</w:t>
      </w:r>
    </w:p>
    <w:p w14:paraId="601D37F2" w14:textId="77777777" w:rsidR="00A91B56" w:rsidRPr="0017799D" w:rsidRDefault="00A91B56" w:rsidP="0017799D">
      <w:pPr>
        <w:spacing w:before="120" w:after="120"/>
        <w:jc w:val="both"/>
        <w:rPr>
          <w:rFonts w:cs="TimesNewRomanPSMT"/>
          <w:sz w:val="18"/>
          <w:szCs w:val="18"/>
        </w:rPr>
      </w:pPr>
      <w:r w:rsidRPr="0017799D">
        <w:rPr>
          <w:rFonts w:cs="TimesNewRomanPSMT"/>
          <w:sz w:val="18"/>
          <w:szCs w:val="18"/>
        </w:rPr>
        <w:t>Financial liabilities carried at amortised cost are payables to suppliers, taxes payable, and borrowed funds. Borrowed funds include regular and subordinated loans received by the Company and are recorded as cash is advanced to the Company.</w:t>
      </w:r>
    </w:p>
    <w:p w14:paraId="5BF8190D" w14:textId="77777777" w:rsidR="00A91B56" w:rsidRPr="00EC690A" w:rsidRDefault="00A91B56" w:rsidP="0017799D">
      <w:pPr>
        <w:spacing w:before="240"/>
        <w:jc w:val="both"/>
        <w:rPr>
          <w:rFonts w:cs="Courier New"/>
          <w:b/>
          <w:bCs/>
          <w:i/>
          <w:sz w:val="18"/>
          <w:szCs w:val="18"/>
        </w:rPr>
      </w:pPr>
      <w:r w:rsidRPr="00EC690A">
        <w:rPr>
          <w:rFonts w:cs="Courier New"/>
          <w:b/>
          <w:bCs/>
          <w:i/>
          <w:sz w:val="18"/>
          <w:szCs w:val="18"/>
        </w:rPr>
        <w:t>Offsetting of financial instruments</w:t>
      </w:r>
    </w:p>
    <w:p w14:paraId="57E5F544" w14:textId="2821B59A" w:rsidR="00A91B56" w:rsidRDefault="00A91B56" w:rsidP="00A91B56">
      <w:pPr>
        <w:pStyle w:val="a"/>
        <w:spacing w:before="120" w:after="120" w:line="240" w:lineRule="auto"/>
        <w:rPr>
          <w:rFonts w:ascii="Trebuchet MS" w:eastAsiaTheme="minorHAnsi" w:hAnsi="Trebuchet MS" w:cs="TimesNewRomanPSMT"/>
          <w:noProof w:val="0"/>
          <w:sz w:val="18"/>
          <w:szCs w:val="18"/>
          <w:lang w:val="en-GB" w:eastAsia="en-US"/>
        </w:rPr>
      </w:pPr>
      <w:r w:rsidRPr="0017799D">
        <w:rPr>
          <w:rFonts w:ascii="Trebuchet MS" w:eastAsiaTheme="minorHAnsi" w:hAnsi="Trebuchet MS" w:cs="TimesNewRomanPSMT"/>
          <w:noProof w:val="0"/>
          <w:sz w:val="18"/>
          <w:szCs w:val="18"/>
          <w:lang w:val="en-GB" w:eastAsia="en-US"/>
        </w:rPr>
        <w:t>Financial assets and liabilities are offset and the net amount is reported in the statement of financial position only when there is a legally enforceable right to offset the recognised amounts, and there is an intention to either settle on a net basis, or to realise the asset and settle the liability simultaneously.</w:t>
      </w:r>
    </w:p>
    <w:p w14:paraId="2BFF20F9" w14:textId="77777777" w:rsidR="00A91B56" w:rsidRPr="00EC690A" w:rsidRDefault="00A91B56" w:rsidP="00A91B56">
      <w:pPr>
        <w:autoSpaceDE w:val="0"/>
        <w:autoSpaceDN w:val="0"/>
        <w:adjustRightInd w:val="0"/>
        <w:spacing w:before="240"/>
        <w:rPr>
          <w:rFonts w:cs="Courier New"/>
          <w:b/>
          <w:bCs/>
          <w:i/>
          <w:sz w:val="18"/>
          <w:szCs w:val="18"/>
        </w:rPr>
      </w:pPr>
      <w:r w:rsidRPr="00EC690A">
        <w:rPr>
          <w:rFonts w:cs="Courier New"/>
          <w:b/>
          <w:bCs/>
          <w:i/>
          <w:sz w:val="18"/>
          <w:szCs w:val="18"/>
        </w:rPr>
        <w:t>Cash and cash equivalents</w:t>
      </w:r>
    </w:p>
    <w:p w14:paraId="75A0C02E" w14:textId="77777777" w:rsidR="00A91B56" w:rsidRPr="00EC690A" w:rsidRDefault="00A91B56" w:rsidP="00A91B56">
      <w:pPr>
        <w:spacing w:before="120"/>
        <w:rPr>
          <w:sz w:val="18"/>
          <w:szCs w:val="18"/>
        </w:rPr>
      </w:pPr>
      <w:r w:rsidRPr="00EC690A">
        <w:rPr>
          <w:sz w:val="18"/>
          <w:szCs w:val="18"/>
        </w:rPr>
        <w:t>Cash and cash equivalents are assets, which can be converted into cash within a day and consist of cash on hand and current bank account balances of the Company, and other short-term highly liquid investments with original maturities of three months or less. Amounts, which relate to funds that are of a restricted nature, are excluded from cash and cash equivalents.</w:t>
      </w:r>
    </w:p>
    <w:p w14:paraId="32F988BE" w14:textId="77777777" w:rsidR="00A91B56" w:rsidRPr="00EC690A" w:rsidRDefault="00A91B56" w:rsidP="00A91B56">
      <w:pPr>
        <w:autoSpaceDE w:val="0"/>
        <w:autoSpaceDN w:val="0"/>
        <w:adjustRightInd w:val="0"/>
        <w:spacing w:before="240"/>
        <w:rPr>
          <w:rFonts w:cs="Courier New"/>
          <w:b/>
          <w:bCs/>
          <w:i/>
          <w:sz w:val="18"/>
          <w:szCs w:val="18"/>
        </w:rPr>
      </w:pPr>
      <w:r w:rsidRPr="00EC690A">
        <w:rPr>
          <w:rFonts w:cs="Courier New"/>
          <w:b/>
          <w:bCs/>
          <w:i/>
          <w:sz w:val="18"/>
          <w:szCs w:val="18"/>
        </w:rPr>
        <w:t>Deposits with banks</w:t>
      </w:r>
    </w:p>
    <w:p w14:paraId="29FFA762" w14:textId="79B3B0EE" w:rsidR="00A91B56" w:rsidRDefault="00A91B56" w:rsidP="00B5502D">
      <w:pPr>
        <w:spacing w:before="120" w:after="120"/>
        <w:jc w:val="both"/>
        <w:rPr>
          <w:sz w:val="18"/>
          <w:szCs w:val="18"/>
        </w:rPr>
      </w:pPr>
      <w:r w:rsidRPr="00EC690A">
        <w:rPr>
          <w:sz w:val="18"/>
          <w:szCs w:val="18"/>
        </w:rPr>
        <w:t>Deposits placed with banks are recognised when the Company issues cash to banks and has no intention to get involved in trading in non-derivative financial instruments not quoted in an active market and repayable on the fixed or determinable date. Deposits with banks are carried at amortised cost and recorded until repayment.</w:t>
      </w:r>
    </w:p>
    <w:p w14:paraId="33C1B347" w14:textId="77777777" w:rsidR="00B5502D" w:rsidRPr="00B5502D" w:rsidRDefault="00B5502D" w:rsidP="00B5502D">
      <w:pPr>
        <w:spacing w:before="240"/>
        <w:rPr>
          <w:rFonts w:cs="Courier New"/>
          <w:b/>
          <w:bCs/>
          <w:i/>
          <w:sz w:val="18"/>
          <w:szCs w:val="18"/>
        </w:rPr>
      </w:pPr>
      <w:r w:rsidRPr="00B5502D">
        <w:rPr>
          <w:rFonts w:cs="Courier New"/>
          <w:b/>
          <w:bCs/>
          <w:i/>
          <w:sz w:val="18"/>
          <w:szCs w:val="18"/>
        </w:rPr>
        <w:t>Insurance and reinsurance receivables</w:t>
      </w:r>
    </w:p>
    <w:p w14:paraId="1D89CE48" w14:textId="139EC8F3" w:rsidR="00B5502D" w:rsidRPr="00B5502D" w:rsidRDefault="00B5502D" w:rsidP="00B5502D">
      <w:pPr>
        <w:spacing w:before="120" w:after="120"/>
        <w:jc w:val="both"/>
        <w:rPr>
          <w:sz w:val="18"/>
          <w:szCs w:val="18"/>
        </w:rPr>
      </w:pPr>
      <w:r>
        <w:rPr>
          <w:sz w:val="18"/>
          <w:szCs w:val="18"/>
        </w:rPr>
        <w:t>I</w:t>
      </w:r>
      <w:r w:rsidRPr="00B5502D">
        <w:rPr>
          <w:sz w:val="18"/>
          <w:szCs w:val="18"/>
        </w:rPr>
        <w:t>nsurance and reinsurance receivables are recogni</w:t>
      </w:r>
      <w:r>
        <w:rPr>
          <w:sz w:val="18"/>
          <w:szCs w:val="18"/>
        </w:rPr>
        <w:t>s</w:t>
      </w:r>
      <w:r w:rsidRPr="00B5502D">
        <w:rPr>
          <w:sz w:val="18"/>
          <w:szCs w:val="18"/>
        </w:rPr>
        <w:t>ed when the related income is received and measured on initial recognition at the fair value of the consideration to be received. After initial recognition, insurance receivables are measured at amortized cost using the effective interest method. The carrying amount of insurance receivables is the present value of estimated future cash flows, discounted at the original effective interest rate. The carrying amount of insurance receivables is assessed for impairment whenever events or circumstances indicate that the carrying amount may not be recoverable and the impairment loss is recognized in the income statement.</w:t>
      </w:r>
    </w:p>
    <w:p w14:paraId="7D979604" w14:textId="0FA99DD8" w:rsidR="00656626" w:rsidRPr="00B5502D" w:rsidRDefault="00B5502D" w:rsidP="00B5502D">
      <w:pPr>
        <w:spacing w:before="120" w:after="120"/>
        <w:jc w:val="both"/>
        <w:rPr>
          <w:sz w:val="18"/>
          <w:szCs w:val="18"/>
        </w:rPr>
      </w:pPr>
      <w:r w:rsidRPr="00B5502D">
        <w:rPr>
          <w:sz w:val="18"/>
          <w:szCs w:val="18"/>
        </w:rPr>
        <w:t>Insurance receivables are derecognised when the derecognition criteria for financial assets are met.</w:t>
      </w:r>
    </w:p>
    <w:p w14:paraId="4FC52395" w14:textId="77777777" w:rsidR="00A91B56" w:rsidRPr="00EC690A" w:rsidRDefault="00A91B56" w:rsidP="00A91B56">
      <w:pPr>
        <w:spacing w:before="240"/>
        <w:rPr>
          <w:rFonts w:cs="Courier New"/>
          <w:b/>
          <w:bCs/>
          <w:i/>
          <w:sz w:val="18"/>
          <w:szCs w:val="18"/>
        </w:rPr>
      </w:pPr>
      <w:r w:rsidRPr="00EC690A">
        <w:rPr>
          <w:rFonts w:cs="Courier New"/>
          <w:b/>
          <w:bCs/>
          <w:i/>
          <w:sz w:val="18"/>
          <w:szCs w:val="18"/>
        </w:rPr>
        <w:lastRenderedPageBreak/>
        <w:t>Property and equipment</w:t>
      </w:r>
    </w:p>
    <w:p w14:paraId="58F2E1D2" w14:textId="77777777" w:rsidR="00A91B56" w:rsidRPr="00EC690A" w:rsidRDefault="00A91B56" w:rsidP="00B5502D">
      <w:pPr>
        <w:spacing w:before="120" w:after="120"/>
        <w:jc w:val="both"/>
        <w:rPr>
          <w:sz w:val="18"/>
          <w:szCs w:val="18"/>
        </w:rPr>
      </w:pPr>
      <w:r w:rsidRPr="00EC690A">
        <w:rPr>
          <w:sz w:val="18"/>
          <w:szCs w:val="18"/>
        </w:rPr>
        <w:t>Property and equipment (except for buildings) are stated at cost less accumulated depreciation and impairment provision, where required. Buildings are stated at revalued amounts being the fair value at the date of revaluation less any subsequent accumulated depreciation and subsequent accumulated impairment losses.</w:t>
      </w:r>
    </w:p>
    <w:p w14:paraId="15100C30" w14:textId="77777777" w:rsidR="00A91B56" w:rsidRPr="00EC690A" w:rsidRDefault="00A91B56" w:rsidP="00B5502D">
      <w:pPr>
        <w:spacing w:before="120" w:after="120"/>
        <w:jc w:val="both"/>
        <w:rPr>
          <w:sz w:val="18"/>
          <w:szCs w:val="18"/>
        </w:rPr>
      </w:pPr>
      <w:r w:rsidRPr="00EC690A">
        <w:rPr>
          <w:sz w:val="18"/>
          <w:szCs w:val="18"/>
        </w:rPr>
        <w:t xml:space="preserve">At each reporting date the Company assesses whether there is any indication of impairment of property and equipment. If any such indication exists, the Company estimates the recoverable amount, which is determined as the higher of an asset’s net selling price and its value in use. Where the carrying amount of an asset is greater than its estimated recoverable amount, it is written down to its recoverable amount and the decrease in the carrying amount is charged to the statement of comprehensive income to the extent it exceeds the previous revaluation surplus in equity. An impairment loss recognised for an asset in prior years is reversed if there has been a change in the estimates used to determine the asset’s recoverable amount. </w:t>
      </w:r>
    </w:p>
    <w:p w14:paraId="23B04C01" w14:textId="77777777" w:rsidR="00A91B56" w:rsidRPr="00EC690A" w:rsidRDefault="00A91B56" w:rsidP="00B5502D">
      <w:pPr>
        <w:spacing w:before="120" w:after="120"/>
        <w:jc w:val="both"/>
        <w:rPr>
          <w:sz w:val="18"/>
          <w:szCs w:val="18"/>
        </w:rPr>
      </w:pPr>
      <w:r w:rsidRPr="00EC690A">
        <w:rPr>
          <w:sz w:val="18"/>
          <w:szCs w:val="18"/>
        </w:rPr>
        <w:t>Gains and losses on disposal of property and equipment are determined by reference to their carrying amount and are recorded within other expenses in the statement of comprehensive income.</w:t>
      </w:r>
    </w:p>
    <w:p w14:paraId="3D608F8A" w14:textId="77777777" w:rsidR="00A91B56" w:rsidRPr="00EC690A" w:rsidRDefault="00A91B56" w:rsidP="00B5502D">
      <w:pPr>
        <w:spacing w:before="120" w:after="120"/>
        <w:jc w:val="both"/>
        <w:rPr>
          <w:sz w:val="18"/>
          <w:szCs w:val="18"/>
        </w:rPr>
      </w:pPr>
      <w:r w:rsidRPr="00EC690A">
        <w:rPr>
          <w:sz w:val="18"/>
          <w:szCs w:val="18"/>
        </w:rPr>
        <w:t>Repairs and maintenance are charged to the statement of comprehensive income when the expense is incurred.</w:t>
      </w:r>
    </w:p>
    <w:p w14:paraId="1C51AE2F" w14:textId="77777777" w:rsidR="00A91B56" w:rsidRPr="00EC690A" w:rsidRDefault="00A91B56" w:rsidP="00B5502D">
      <w:pPr>
        <w:spacing w:before="120" w:after="120"/>
        <w:jc w:val="both"/>
        <w:rPr>
          <w:sz w:val="18"/>
          <w:szCs w:val="18"/>
        </w:rPr>
      </w:pPr>
      <w:r w:rsidRPr="00EC690A">
        <w:rPr>
          <w:sz w:val="18"/>
          <w:szCs w:val="18"/>
        </w:rPr>
        <w:t>Depreciation of property and equipment commences from the date the assets are ready for use. Depreciation is charged on a straight-line basis over the following useful lives of the assets:</w:t>
      </w:r>
    </w:p>
    <w:p w14:paraId="0493F65A" w14:textId="77777777" w:rsidR="00A91B56" w:rsidRPr="00EC690A" w:rsidRDefault="00A91B56" w:rsidP="00B5502D">
      <w:pPr>
        <w:numPr>
          <w:ilvl w:val="0"/>
          <w:numId w:val="11"/>
        </w:numPr>
        <w:tabs>
          <w:tab w:val="clear" w:pos="1080"/>
          <w:tab w:val="num" w:pos="426"/>
        </w:tabs>
        <w:spacing w:before="120" w:after="120"/>
        <w:ind w:left="425" w:hanging="425"/>
        <w:contextualSpacing/>
        <w:jc w:val="both"/>
        <w:rPr>
          <w:sz w:val="18"/>
          <w:szCs w:val="18"/>
        </w:rPr>
      </w:pPr>
      <w:r w:rsidRPr="00EC690A">
        <w:rPr>
          <w:sz w:val="18"/>
          <w:szCs w:val="18"/>
        </w:rPr>
        <w:t>Buildings – 22 years;</w:t>
      </w:r>
    </w:p>
    <w:p w14:paraId="3B5E93CB" w14:textId="77777777" w:rsidR="00A91B56" w:rsidRPr="00EC690A" w:rsidRDefault="00A91B56" w:rsidP="00B5502D">
      <w:pPr>
        <w:numPr>
          <w:ilvl w:val="0"/>
          <w:numId w:val="11"/>
        </w:numPr>
        <w:tabs>
          <w:tab w:val="clear" w:pos="1080"/>
          <w:tab w:val="num" w:pos="426"/>
        </w:tabs>
        <w:spacing w:before="120" w:after="120"/>
        <w:ind w:left="425" w:hanging="425"/>
        <w:contextualSpacing/>
        <w:jc w:val="both"/>
        <w:rPr>
          <w:sz w:val="18"/>
          <w:szCs w:val="18"/>
        </w:rPr>
      </w:pPr>
      <w:r w:rsidRPr="00EC690A">
        <w:rPr>
          <w:sz w:val="18"/>
          <w:szCs w:val="18"/>
        </w:rPr>
        <w:t>Furniture – 5 years;</w:t>
      </w:r>
    </w:p>
    <w:p w14:paraId="365895F5" w14:textId="77777777" w:rsidR="00A91B56" w:rsidRPr="00EC690A" w:rsidRDefault="00A91B56" w:rsidP="00B5502D">
      <w:pPr>
        <w:numPr>
          <w:ilvl w:val="0"/>
          <w:numId w:val="11"/>
        </w:numPr>
        <w:tabs>
          <w:tab w:val="clear" w:pos="1080"/>
          <w:tab w:val="num" w:pos="426"/>
        </w:tabs>
        <w:spacing w:before="120" w:after="120"/>
        <w:ind w:left="425" w:hanging="425"/>
        <w:contextualSpacing/>
        <w:jc w:val="both"/>
        <w:rPr>
          <w:sz w:val="18"/>
          <w:szCs w:val="18"/>
        </w:rPr>
      </w:pPr>
      <w:r w:rsidRPr="00EC690A">
        <w:rPr>
          <w:sz w:val="18"/>
          <w:szCs w:val="18"/>
        </w:rPr>
        <w:t>Computers and office equipment – 4 years;</w:t>
      </w:r>
    </w:p>
    <w:p w14:paraId="7F7DAF38" w14:textId="77777777" w:rsidR="00A91B56" w:rsidRPr="00EC690A" w:rsidRDefault="00A91B56" w:rsidP="00B5502D">
      <w:pPr>
        <w:numPr>
          <w:ilvl w:val="0"/>
          <w:numId w:val="11"/>
        </w:numPr>
        <w:tabs>
          <w:tab w:val="clear" w:pos="1080"/>
          <w:tab w:val="num" w:pos="426"/>
        </w:tabs>
        <w:spacing w:before="120" w:after="120"/>
        <w:ind w:left="425" w:hanging="425"/>
        <w:jc w:val="both"/>
        <w:rPr>
          <w:sz w:val="18"/>
          <w:szCs w:val="18"/>
        </w:rPr>
      </w:pPr>
      <w:r w:rsidRPr="00EC690A">
        <w:rPr>
          <w:sz w:val="18"/>
          <w:szCs w:val="18"/>
        </w:rPr>
        <w:t>Motor vehicles – 4 years.</w:t>
      </w:r>
    </w:p>
    <w:p w14:paraId="13B7E1AC" w14:textId="77777777" w:rsidR="00A91B56" w:rsidRPr="00EC690A" w:rsidRDefault="00A91B56" w:rsidP="00B5502D">
      <w:pPr>
        <w:spacing w:before="120" w:after="120"/>
        <w:jc w:val="both"/>
        <w:rPr>
          <w:sz w:val="18"/>
          <w:szCs w:val="18"/>
        </w:rPr>
      </w:pPr>
      <w:r w:rsidRPr="00EC690A">
        <w:rPr>
          <w:sz w:val="18"/>
          <w:szCs w:val="18"/>
        </w:rPr>
        <w:t>The residual value of an asset is the estimated amount that the Company would currently obtain from disposal of the asset less the estimated costs of disposal, if the asset were already of the age and in the condition expected at the end of its useful life. The assets' residual values and useful lives are reviewed, and adjusted if appropriate, at each reporting date.</w:t>
      </w:r>
    </w:p>
    <w:p w14:paraId="10592D5F" w14:textId="77777777" w:rsidR="00A91B56" w:rsidRPr="00EC690A" w:rsidRDefault="00A91B56" w:rsidP="00A91B56">
      <w:pPr>
        <w:spacing w:before="240"/>
        <w:rPr>
          <w:rFonts w:cs="Courier New"/>
          <w:b/>
          <w:bCs/>
          <w:i/>
          <w:sz w:val="18"/>
          <w:szCs w:val="18"/>
        </w:rPr>
      </w:pPr>
      <w:r w:rsidRPr="00EC690A">
        <w:rPr>
          <w:rFonts w:cs="Courier New"/>
          <w:b/>
          <w:bCs/>
          <w:i/>
          <w:sz w:val="18"/>
          <w:szCs w:val="18"/>
        </w:rPr>
        <w:t>Intangible assets acquired separately</w:t>
      </w:r>
    </w:p>
    <w:p w14:paraId="3B10E00F" w14:textId="77777777" w:rsidR="00B5502D" w:rsidRDefault="00A91B56" w:rsidP="00B5502D">
      <w:pPr>
        <w:spacing w:before="120"/>
        <w:jc w:val="both"/>
        <w:rPr>
          <w:sz w:val="18"/>
          <w:szCs w:val="18"/>
        </w:rPr>
      </w:pPr>
      <w:r w:rsidRPr="00EC690A">
        <w:rPr>
          <w:sz w:val="18"/>
          <w:szCs w:val="18"/>
        </w:rPr>
        <w:t xml:space="preserve">Intangible assets with finite useful lives that are acquired separately are carried at cost less accumulated amortisation and accumulated impairment losses. Amortisation is recognised on a straight-line basis over their estimated useful lives. The estimated useful life and amortisation method are reviewed at the end of each reporting period, with the effect of any changes in estimate being accounted for on a prospective basis. </w:t>
      </w:r>
    </w:p>
    <w:p w14:paraId="482E5D98" w14:textId="742B0E22" w:rsidR="00A91B56" w:rsidRPr="00EC690A" w:rsidRDefault="00A91B56" w:rsidP="00B5502D">
      <w:pPr>
        <w:spacing w:before="120"/>
        <w:jc w:val="both"/>
        <w:rPr>
          <w:sz w:val="18"/>
          <w:szCs w:val="18"/>
        </w:rPr>
      </w:pPr>
      <w:r w:rsidRPr="00EC690A">
        <w:rPr>
          <w:sz w:val="18"/>
          <w:szCs w:val="18"/>
        </w:rPr>
        <w:t xml:space="preserve">Intangible assets </w:t>
      </w:r>
      <w:r w:rsidR="00B5502D">
        <w:rPr>
          <w:sz w:val="18"/>
          <w:szCs w:val="18"/>
        </w:rPr>
        <w:t xml:space="preserve">of the Company are accounting software and license. Useful life used in the calculation of amortisation is 5 years. </w:t>
      </w:r>
    </w:p>
    <w:p w14:paraId="35C96005" w14:textId="77777777" w:rsidR="00A91B56" w:rsidRPr="00EC690A" w:rsidRDefault="00A91B56" w:rsidP="00A91B56">
      <w:pPr>
        <w:spacing w:before="240"/>
        <w:rPr>
          <w:rFonts w:cs="Courier New"/>
          <w:b/>
          <w:bCs/>
          <w:i/>
          <w:sz w:val="18"/>
          <w:szCs w:val="18"/>
        </w:rPr>
      </w:pPr>
      <w:r w:rsidRPr="00EC690A">
        <w:rPr>
          <w:rFonts w:cs="Courier New"/>
          <w:b/>
          <w:bCs/>
          <w:i/>
          <w:sz w:val="18"/>
          <w:szCs w:val="18"/>
        </w:rPr>
        <w:t>Investment property</w:t>
      </w:r>
    </w:p>
    <w:p w14:paraId="09756474" w14:textId="77777777" w:rsidR="00A91B56" w:rsidRPr="00EC690A" w:rsidRDefault="00A91B56" w:rsidP="00B5502D">
      <w:pPr>
        <w:spacing w:before="120"/>
        <w:jc w:val="both"/>
        <w:rPr>
          <w:sz w:val="18"/>
          <w:szCs w:val="18"/>
        </w:rPr>
      </w:pPr>
      <w:r w:rsidRPr="00EC690A">
        <w:rPr>
          <w:sz w:val="18"/>
          <w:szCs w:val="18"/>
        </w:rPr>
        <w:t>Investment property is property held by the Company to earn rentals or for capital appreciation or both, rather than for: (а) use in the Company’s ordinary course of business, for administrative purposes; or (b) sale in the ordinary course of business.</w:t>
      </w:r>
    </w:p>
    <w:p w14:paraId="779B784D" w14:textId="77777777" w:rsidR="00A91B56" w:rsidRPr="00EC690A" w:rsidRDefault="00A91B56" w:rsidP="00B5502D">
      <w:pPr>
        <w:spacing w:before="120"/>
        <w:jc w:val="both"/>
        <w:rPr>
          <w:sz w:val="18"/>
          <w:szCs w:val="18"/>
        </w:rPr>
      </w:pPr>
      <w:r w:rsidRPr="00EC690A">
        <w:rPr>
          <w:sz w:val="18"/>
          <w:szCs w:val="18"/>
        </w:rPr>
        <w:t xml:space="preserve">Investment property is initially recorded at the cost of acquisition and subsequently remeasured to the fair value based on its market value. The market value of the Company’s investment property is obtained from reports of independent appraisers, who have recognised and relevant professional qualifications and experience in valuation of property of similar location and category. Changes in the fair value of investment property are recorded in the statement of comprehensive income as a separate line. </w:t>
      </w:r>
    </w:p>
    <w:p w14:paraId="22630AB9" w14:textId="77777777" w:rsidR="00A91B56" w:rsidRPr="00EC690A" w:rsidRDefault="00A91B56" w:rsidP="00B5502D">
      <w:pPr>
        <w:spacing w:before="120"/>
        <w:jc w:val="both"/>
        <w:rPr>
          <w:sz w:val="18"/>
          <w:szCs w:val="18"/>
        </w:rPr>
      </w:pPr>
      <w:r w:rsidRPr="00EC690A">
        <w:rPr>
          <w:sz w:val="18"/>
          <w:szCs w:val="18"/>
        </w:rPr>
        <w:t>The Company records rentals in the statement of comprehensive income as gain/(loss) on revaluation of investment property. Direct operating expenses (including repair and maintenance) arising from investment property are recorded as incurred within other expenses relating to investment activity in the statement of comprehensive income.</w:t>
      </w:r>
    </w:p>
    <w:p w14:paraId="4C9F32A6" w14:textId="77777777" w:rsidR="00A91B56" w:rsidRPr="00EC690A" w:rsidRDefault="00A91B56" w:rsidP="00B5502D">
      <w:pPr>
        <w:spacing w:before="120"/>
        <w:jc w:val="both"/>
        <w:rPr>
          <w:sz w:val="18"/>
          <w:szCs w:val="18"/>
        </w:rPr>
      </w:pPr>
      <w:r w:rsidRPr="00EC690A">
        <w:rPr>
          <w:sz w:val="18"/>
          <w:szCs w:val="18"/>
        </w:rPr>
        <w:t xml:space="preserve">If the investment property is used by the Company for its own operating activities, it is reclassified to premises and equipment, and </w:t>
      </w:r>
      <w:proofErr w:type="gramStart"/>
      <w:r w:rsidRPr="00EC690A">
        <w:rPr>
          <w:sz w:val="18"/>
          <w:szCs w:val="18"/>
        </w:rPr>
        <w:t>its</w:t>
      </w:r>
      <w:proofErr w:type="gramEnd"/>
      <w:r w:rsidRPr="00EC690A">
        <w:rPr>
          <w:sz w:val="18"/>
          <w:szCs w:val="18"/>
        </w:rPr>
        <w:t xml:space="preserve"> carrying amount at the date of reclassification becomes its deemed cost to be subsequently depreciated.</w:t>
      </w:r>
    </w:p>
    <w:p w14:paraId="1266E32C" w14:textId="3940C264" w:rsidR="00A91B56" w:rsidRDefault="00A91B56" w:rsidP="00B5502D">
      <w:pPr>
        <w:spacing w:before="120"/>
        <w:jc w:val="both"/>
        <w:rPr>
          <w:sz w:val="18"/>
          <w:szCs w:val="18"/>
        </w:rPr>
      </w:pPr>
      <w:r w:rsidRPr="00EC690A">
        <w:rPr>
          <w:sz w:val="18"/>
          <w:szCs w:val="18"/>
        </w:rPr>
        <w:t>Property under construction and renovation intended for subsequent use as investment property is recorded as investment property.</w:t>
      </w:r>
    </w:p>
    <w:p w14:paraId="046E56FD" w14:textId="180BE787" w:rsidR="00F57670" w:rsidRDefault="00F57670" w:rsidP="00B5502D">
      <w:pPr>
        <w:spacing w:before="120"/>
        <w:jc w:val="both"/>
        <w:rPr>
          <w:sz w:val="18"/>
          <w:szCs w:val="18"/>
        </w:rPr>
      </w:pPr>
    </w:p>
    <w:p w14:paraId="1BBDE1B0" w14:textId="77777777" w:rsidR="00F57670" w:rsidRPr="00EC690A" w:rsidRDefault="00F57670" w:rsidP="00B5502D">
      <w:pPr>
        <w:spacing w:before="120"/>
        <w:jc w:val="both"/>
        <w:rPr>
          <w:sz w:val="18"/>
          <w:szCs w:val="18"/>
        </w:rPr>
      </w:pPr>
    </w:p>
    <w:p w14:paraId="0BFB6D6D" w14:textId="161C8A19" w:rsidR="00B67903" w:rsidRPr="00B67903" w:rsidRDefault="00B67903" w:rsidP="00B67903">
      <w:pPr>
        <w:spacing w:before="240" w:after="120"/>
        <w:rPr>
          <w:rFonts w:cs="Courier New"/>
          <w:b/>
          <w:bCs/>
          <w:i/>
          <w:sz w:val="18"/>
          <w:szCs w:val="18"/>
        </w:rPr>
      </w:pPr>
      <w:r w:rsidRPr="00B67903">
        <w:rPr>
          <w:rFonts w:cs="Courier New"/>
          <w:b/>
          <w:bCs/>
          <w:i/>
          <w:sz w:val="18"/>
          <w:szCs w:val="18"/>
        </w:rPr>
        <w:lastRenderedPageBreak/>
        <w:t>Lease</w:t>
      </w:r>
    </w:p>
    <w:p w14:paraId="620B7F58" w14:textId="77777777" w:rsidR="00B67903" w:rsidRPr="00B67903" w:rsidRDefault="00B67903" w:rsidP="00B67903">
      <w:pPr>
        <w:spacing w:before="120" w:after="120"/>
        <w:jc w:val="both"/>
        <w:rPr>
          <w:sz w:val="18"/>
          <w:szCs w:val="18"/>
        </w:rPr>
      </w:pPr>
      <w:r w:rsidRPr="00B67903">
        <w:rPr>
          <w:sz w:val="18"/>
          <w:szCs w:val="18"/>
        </w:rPr>
        <w:t xml:space="preserve">A definition of whether the contract is a lease contract or whether it contains indications of a lease is based on an analysis of the contract content at the date of lease commencement. The contract is a lease contract or contains indications of a lease if the contract implementation depends on the use of a particular asset or assets and the right to use the asset or assets as a result of this contract transfers from one party to another, even if it is not explicitly stated in the contract. </w:t>
      </w:r>
    </w:p>
    <w:p w14:paraId="1025D2CC" w14:textId="181581EB" w:rsidR="00A91B56" w:rsidRPr="00B67903" w:rsidRDefault="00B67903" w:rsidP="00B67903">
      <w:pPr>
        <w:spacing w:before="120" w:after="120"/>
        <w:rPr>
          <w:rFonts w:cs="Courier New"/>
          <w:i/>
          <w:sz w:val="18"/>
          <w:szCs w:val="18"/>
        </w:rPr>
      </w:pPr>
      <w:r w:rsidRPr="00B67903">
        <w:rPr>
          <w:rFonts w:cs="Courier New"/>
          <w:i/>
          <w:sz w:val="18"/>
          <w:szCs w:val="18"/>
        </w:rPr>
        <w:t>T</w:t>
      </w:r>
      <w:r w:rsidR="00A91B56" w:rsidRPr="00B67903">
        <w:rPr>
          <w:rFonts w:cs="Courier New"/>
          <w:i/>
          <w:sz w:val="18"/>
          <w:szCs w:val="18"/>
        </w:rPr>
        <w:t>he Company as a lessor</w:t>
      </w:r>
    </w:p>
    <w:p w14:paraId="16149E59" w14:textId="1C6F2C69" w:rsidR="00A91B56" w:rsidRDefault="00A91B56" w:rsidP="00B67903">
      <w:pPr>
        <w:spacing w:before="120" w:after="120"/>
        <w:jc w:val="both"/>
        <w:rPr>
          <w:sz w:val="18"/>
          <w:szCs w:val="18"/>
        </w:rPr>
      </w:pPr>
      <w:r w:rsidRPr="00B5502D">
        <w:rPr>
          <w:sz w:val="18"/>
          <w:szCs w:val="18"/>
        </w:rPr>
        <w:t>Leases of property under which the risks and rewards of ownership are effectively retained with the lessor are classified as operating leases. Lease payments under operating lease are recognised as income on a straight-line basis over the lease term and included into other income in the statement of comprehensive income</w:t>
      </w:r>
      <w:r w:rsidRPr="00EC690A">
        <w:rPr>
          <w:sz w:val="18"/>
          <w:szCs w:val="18"/>
        </w:rPr>
        <w:t>.</w:t>
      </w:r>
    </w:p>
    <w:p w14:paraId="23FA2078" w14:textId="77777777" w:rsidR="00B67903" w:rsidRPr="00B67903" w:rsidRDefault="00B67903" w:rsidP="00B67903">
      <w:pPr>
        <w:spacing w:before="120" w:after="120"/>
        <w:rPr>
          <w:rFonts w:cs="Courier New"/>
          <w:i/>
          <w:sz w:val="18"/>
          <w:szCs w:val="18"/>
        </w:rPr>
      </w:pPr>
      <w:r w:rsidRPr="00B67903">
        <w:rPr>
          <w:rFonts w:cs="Courier New"/>
          <w:i/>
          <w:sz w:val="18"/>
          <w:szCs w:val="18"/>
        </w:rPr>
        <w:t>The Company as a lessee</w:t>
      </w:r>
    </w:p>
    <w:p w14:paraId="4DBC6074" w14:textId="036A2BA0" w:rsidR="00B67903" w:rsidRPr="00B67903" w:rsidRDefault="00B67903" w:rsidP="00B67903">
      <w:pPr>
        <w:spacing w:before="120" w:after="120"/>
        <w:jc w:val="both"/>
        <w:rPr>
          <w:sz w:val="18"/>
          <w:szCs w:val="18"/>
        </w:rPr>
      </w:pPr>
      <w:r w:rsidRPr="00B67903">
        <w:rPr>
          <w:sz w:val="18"/>
          <w:szCs w:val="18"/>
        </w:rPr>
        <w:t>The Company applies a unified approach to recognition and assessment of lease apart from short-term and low-value assets leases.  The Company recogni</w:t>
      </w:r>
      <w:r>
        <w:rPr>
          <w:sz w:val="18"/>
          <w:szCs w:val="18"/>
        </w:rPr>
        <w:t>s</w:t>
      </w:r>
      <w:r w:rsidRPr="00B67903">
        <w:rPr>
          <w:sz w:val="18"/>
          <w:szCs w:val="18"/>
        </w:rPr>
        <w:t xml:space="preserve">ed lease liabilities for lease payments and right-of-use assets that represent the right to use underlying assets. </w:t>
      </w:r>
    </w:p>
    <w:p w14:paraId="4ECD1935" w14:textId="2E669390" w:rsidR="00B67903" w:rsidRPr="00B67903" w:rsidRDefault="00B67903" w:rsidP="00B67903">
      <w:pPr>
        <w:spacing w:before="120" w:after="120"/>
        <w:jc w:val="both"/>
        <w:rPr>
          <w:sz w:val="18"/>
          <w:szCs w:val="18"/>
        </w:rPr>
      </w:pPr>
      <w:r w:rsidRPr="00B67903">
        <w:rPr>
          <w:sz w:val="18"/>
          <w:szCs w:val="18"/>
        </w:rPr>
        <w:t>The Company recogni</w:t>
      </w:r>
      <w:r>
        <w:rPr>
          <w:sz w:val="18"/>
          <w:szCs w:val="18"/>
        </w:rPr>
        <w:t>s</w:t>
      </w:r>
      <w:r w:rsidRPr="00B67903">
        <w:rPr>
          <w:sz w:val="18"/>
          <w:szCs w:val="18"/>
        </w:rPr>
        <w:t>es right-of-use assets at commencement of the lease (i.e. at the date on which the underlying asset becomes available for use). Right-of-use assets are measured at historical cost less accumulated amortisation and accumulated impairment losses, adjusted for remeasurement of lease liabilities. The historical cost of the right-of-use asset includes the recogni</w:t>
      </w:r>
      <w:r>
        <w:rPr>
          <w:sz w:val="18"/>
          <w:szCs w:val="18"/>
        </w:rPr>
        <w:t>s</w:t>
      </w:r>
      <w:r w:rsidRPr="00B67903">
        <w:rPr>
          <w:sz w:val="18"/>
          <w:szCs w:val="18"/>
        </w:rPr>
        <w:t xml:space="preserve">ed lease liabilities, initial direct costs </w:t>
      </w:r>
      <w:proofErr w:type="gramStart"/>
      <w:r w:rsidRPr="00B67903">
        <w:rPr>
          <w:sz w:val="18"/>
          <w:szCs w:val="18"/>
        </w:rPr>
        <w:t>incurred</w:t>
      </w:r>
      <w:proofErr w:type="gramEnd"/>
      <w:r w:rsidRPr="00B67903">
        <w:rPr>
          <w:sz w:val="18"/>
          <w:szCs w:val="18"/>
        </w:rPr>
        <w:t xml:space="preserve"> and lease payments incurred on or before the lease date. If the lease transfers ownership of the Company’s underlying asset before the lease end, or if the historical cost of the right-of-use asset contains the Company’s intention to exercise the purchase option, the Company amortises the right-of-use asset from commencement of the lease to the end of the underlying asset’s useful life.  Otherwise, the Company depreciates the asset in the form of a right of use from the start date of the lease to the earlier of the following dates: the end date of the useful life of the asset in the form of a right of use or the end date of the lease.</w:t>
      </w:r>
    </w:p>
    <w:p w14:paraId="2D4CE2A4" w14:textId="77777777" w:rsidR="00B67903" w:rsidRPr="00B67903" w:rsidRDefault="00B67903" w:rsidP="00B67903">
      <w:pPr>
        <w:spacing w:before="120" w:after="120"/>
        <w:jc w:val="both"/>
        <w:rPr>
          <w:sz w:val="18"/>
          <w:szCs w:val="18"/>
        </w:rPr>
      </w:pPr>
      <w:r w:rsidRPr="00B67903">
        <w:rPr>
          <w:sz w:val="18"/>
          <w:szCs w:val="18"/>
        </w:rPr>
        <w:t xml:space="preserve">Right-of-use assets are also tested for impairment. </w:t>
      </w:r>
    </w:p>
    <w:p w14:paraId="799F85FE" w14:textId="583F7D98" w:rsidR="00B67903" w:rsidRPr="00B67903" w:rsidRDefault="00B67903" w:rsidP="00B67903">
      <w:pPr>
        <w:spacing w:before="120" w:after="120"/>
        <w:jc w:val="both"/>
        <w:rPr>
          <w:sz w:val="18"/>
          <w:szCs w:val="18"/>
        </w:rPr>
      </w:pPr>
      <w:r w:rsidRPr="00B67903">
        <w:rPr>
          <w:sz w:val="18"/>
          <w:szCs w:val="18"/>
        </w:rPr>
        <w:t>For short-term leases or leases with a low value of an underlying asset, the Company recogni</w:t>
      </w:r>
      <w:r>
        <w:rPr>
          <w:sz w:val="18"/>
          <w:szCs w:val="18"/>
        </w:rPr>
        <w:t>s</w:t>
      </w:r>
      <w:r w:rsidRPr="00B67903">
        <w:rPr>
          <w:sz w:val="18"/>
          <w:szCs w:val="18"/>
        </w:rPr>
        <w:t>es lease payments as an expense on a straight-line basis over the lease term.</w:t>
      </w:r>
    </w:p>
    <w:p w14:paraId="300B85B0" w14:textId="77777777" w:rsidR="00A91B56" w:rsidRPr="00B67903" w:rsidRDefault="00A91B56" w:rsidP="00B67903">
      <w:pPr>
        <w:spacing w:before="240" w:after="120"/>
        <w:rPr>
          <w:rFonts w:cs="Courier New"/>
          <w:b/>
          <w:bCs/>
          <w:i/>
          <w:sz w:val="18"/>
          <w:szCs w:val="18"/>
        </w:rPr>
      </w:pPr>
      <w:r w:rsidRPr="00B67903">
        <w:rPr>
          <w:rFonts w:cs="Courier New"/>
          <w:b/>
          <w:bCs/>
          <w:i/>
          <w:sz w:val="18"/>
          <w:szCs w:val="18"/>
        </w:rPr>
        <w:t>Share capital</w:t>
      </w:r>
    </w:p>
    <w:p w14:paraId="4514841C" w14:textId="77777777" w:rsidR="00A91B56" w:rsidRPr="00EC690A" w:rsidRDefault="00A91B56" w:rsidP="00B67903">
      <w:pPr>
        <w:spacing w:before="120" w:after="120"/>
        <w:jc w:val="both"/>
        <w:rPr>
          <w:sz w:val="18"/>
          <w:szCs w:val="18"/>
        </w:rPr>
      </w:pPr>
      <w:r w:rsidRPr="00EC690A">
        <w:rPr>
          <w:sz w:val="18"/>
          <w:szCs w:val="18"/>
        </w:rPr>
        <w:t>Statutory share capital is recorded at its nominal amount actually paid in in accordance with the Company’s constitution documents. Share capital contributions made in the form of assets other than cash are stated at their fair value at the date of contribution.</w:t>
      </w:r>
    </w:p>
    <w:p w14:paraId="3F1CF17A" w14:textId="77777777" w:rsidR="00A91B56" w:rsidRPr="00EC690A" w:rsidRDefault="00A91B56" w:rsidP="00B67903">
      <w:pPr>
        <w:spacing w:before="240" w:after="120"/>
        <w:rPr>
          <w:rFonts w:cs="Courier New"/>
          <w:b/>
          <w:bCs/>
          <w:i/>
          <w:sz w:val="18"/>
          <w:szCs w:val="18"/>
        </w:rPr>
      </w:pPr>
      <w:r w:rsidRPr="00EC690A">
        <w:rPr>
          <w:rFonts w:cs="Courier New"/>
          <w:b/>
          <w:bCs/>
          <w:i/>
          <w:sz w:val="18"/>
          <w:szCs w:val="18"/>
        </w:rPr>
        <w:t>Dividends</w:t>
      </w:r>
    </w:p>
    <w:p w14:paraId="54689DDA" w14:textId="77777777" w:rsidR="00A91B56" w:rsidRPr="00EC690A" w:rsidRDefault="00A91B56" w:rsidP="00B67903">
      <w:pPr>
        <w:spacing w:before="120"/>
        <w:jc w:val="both"/>
        <w:rPr>
          <w:rFonts w:cs="TimesNewRoman"/>
          <w:sz w:val="18"/>
          <w:szCs w:val="18"/>
        </w:rPr>
      </w:pPr>
      <w:r w:rsidRPr="00EC690A">
        <w:rPr>
          <w:rFonts w:cs="TimesNewRoman"/>
          <w:sz w:val="18"/>
          <w:szCs w:val="18"/>
        </w:rPr>
        <w:t xml:space="preserve">Dividends are recognised when declared at the General Meeting of Shareholders of the Company. Dividends are recognised as a liability and deducted from equity at the reporting date only if they are declared before or on the reporting date. Dividends are disclosed when they are proposed before the reporting date or proposed or declared after the reporting date but before the financial statements are authorised for issue. </w:t>
      </w:r>
    </w:p>
    <w:p w14:paraId="4C7C8771" w14:textId="77777777" w:rsidR="00A91B56" w:rsidRPr="00EC690A" w:rsidRDefault="00A91B56" w:rsidP="00B67903">
      <w:pPr>
        <w:spacing w:before="240" w:after="120"/>
        <w:rPr>
          <w:rFonts w:cs="Courier New"/>
          <w:b/>
          <w:bCs/>
          <w:i/>
          <w:sz w:val="18"/>
          <w:szCs w:val="18"/>
        </w:rPr>
      </w:pPr>
      <w:r w:rsidRPr="00EC690A">
        <w:rPr>
          <w:rFonts w:cs="Courier New"/>
          <w:b/>
          <w:bCs/>
          <w:i/>
          <w:sz w:val="18"/>
          <w:szCs w:val="18"/>
        </w:rPr>
        <w:t>Contingent assets and liabilities</w:t>
      </w:r>
    </w:p>
    <w:p w14:paraId="6064CC52" w14:textId="77777777" w:rsidR="00A91B56" w:rsidRPr="00EC690A" w:rsidRDefault="00A91B56" w:rsidP="00B67903">
      <w:pPr>
        <w:spacing w:before="120" w:after="120"/>
        <w:jc w:val="both"/>
        <w:rPr>
          <w:sz w:val="18"/>
          <w:szCs w:val="18"/>
        </w:rPr>
      </w:pPr>
      <w:r w:rsidRPr="00EC690A">
        <w:rPr>
          <w:rFonts w:cs="Garamond"/>
          <w:color w:val="000000"/>
          <w:sz w:val="18"/>
          <w:szCs w:val="18"/>
        </w:rPr>
        <w:t xml:space="preserve">Contingent assets are not </w:t>
      </w:r>
      <w:r w:rsidRPr="00EC690A">
        <w:rPr>
          <w:sz w:val="18"/>
          <w:szCs w:val="18"/>
        </w:rPr>
        <w:t>recognised in the statement of financial position but disclosed in the financial statements when an inflow of economic benefits is probable.</w:t>
      </w:r>
    </w:p>
    <w:p w14:paraId="15FF5091" w14:textId="2B05645A" w:rsidR="00A91B56" w:rsidRDefault="00A91B56" w:rsidP="00B67903">
      <w:pPr>
        <w:spacing w:before="120" w:after="120"/>
        <w:jc w:val="both"/>
        <w:rPr>
          <w:sz w:val="18"/>
          <w:szCs w:val="18"/>
        </w:rPr>
      </w:pPr>
      <w:r w:rsidRPr="00EC690A">
        <w:rPr>
          <w:sz w:val="18"/>
          <w:szCs w:val="18"/>
        </w:rPr>
        <w:t xml:space="preserve">Contingent liabilities are not recognised in the statement of financial position but disclosed in the financial statements unless the possibility of any outflow in settlement is remote. </w:t>
      </w:r>
    </w:p>
    <w:p w14:paraId="7EC277EE" w14:textId="77777777" w:rsidR="00A91B56" w:rsidRPr="00EC690A" w:rsidRDefault="00A91B56" w:rsidP="00A91B56">
      <w:pPr>
        <w:spacing w:before="240"/>
        <w:rPr>
          <w:rFonts w:cs="Courier New"/>
          <w:b/>
          <w:bCs/>
          <w:i/>
          <w:sz w:val="18"/>
          <w:szCs w:val="18"/>
        </w:rPr>
      </w:pPr>
      <w:r w:rsidRPr="00EC690A">
        <w:rPr>
          <w:rFonts w:cs="Courier New"/>
          <w:b/>
          <w:bCs/>
          <w:i/>
          <w:sz w:val="18"/>
          <w:szCs w:val="18"/>
        </w:rPr>
        <w:t>Taxation</w:t>
      </w:r>
    </w:p>
    <w:p w14:paraId="057FDA94" w14:textId="77777777" w:rsidR="00A91B56" w:rsidRPr="00EC690A" w:rsidRDefault="00A91B56" w:rsidP="005C18AE">
      <w:pPr>
        <w:spacing w:before="120" w:after="120"/>
        <w:jc w:val="both"/>
        <w:rPr>
          <w:sz w:val="18"/>
          <w:szCs w:val="18"/>
        </w:rPr>
      </w:pPr>
      <w:r w:rsidRPr="00EC690A">
        <w:rPr>
          <w:rFonts w:cs="FuturaBookC"/>
          <w:sz w:val="18"/>
          <w:szCs w:val="18"/>
        </w:rPr>
        <w:t>The income tax charge comprises current tax and deferred tax and is recorded in the statement of comprehensive income</w:t>
      </w:r>
      <w:r w:rsidRPr="00EC690A">
        <w:rPr>
          <w:rFonts w:cs="Courier New"/>
          <w:sz w:val="18"/>
          <w:szCs w:val="18"/>
        </w:rPr>
        <w:t xml:space="preserve">. </w:t>
      </w:r>
      <w:r w:rsidRPr="00EC690A">
        <w:rPr>
          <w:rFonts w:cs="FuturaBookC"/>
          <w:sz w:val="18"/>
          <w:szCs w:val="18"/>
        </w:rPr>
        <w:t>Income tax expense is recorded in the financial statements in accordance with the applicable legislation of Azerbaijan.</w:t>
      </w:r>
      <w:r w:rsidRPr="00EC690A">
        <w:rPr>
          <w:sz w:val="18"/>
          <w:szCs w:val="18"/>
        </w:rPr>
        <w:t xml:space="preserve"> Current tax is calculated </w:t>
      </w:r>
      <w:proofErr w:type="gramStart"/>
      <w:r w:rsidRPr="00EC690A">
        <w:rPr>
          <w:sz w:val="18"/>
          <w:szCs w:val="18"/>
        </w:rPr>
        <w:t>on the basis of</w:t>
      </w:r>
      <w:proofErr w:type="gramEnd"/>
      <w:r w:rsidRPr="00EC690A">
        <w:rPr>
          <w:sz w:val="18"/>
          <w:szCs w:val="18"/>
        </w:rPr>
        <w:t xml:space="preserve"> the taxable profit for the year, using the tax rates enacted during the reporting period.</w:t>
      </w:r>
    </w:p>
    <w:p w14:paraId="14F10FA6" w14:textId="77777777" w:rsidR="00A91B56" w:rsidRPr="00EC690A" w:rsidRDefault="00A91B56" w:rsidP="005C18AE">
      <w:pPr>
        <w:spacing w:before="120" w:after="120"/>
        <w:jc w:val="both"/>
        <w:rPr>
          <w:rFonts w:cs="FuturaBookC"/>
          <w:sz w:val="18"/>
          <w:szCs w:val="18"/>
        </w:rPr>
      </w:pPr>
      <w:r w:rsidRPr="00EC690A">
        <w:rPr>
          <w:rFonts w:cs="FuturaBookC"/>
          <w:sz w:val="18"/>
          <w:szCs w:val="18"/>
        </w:rPr>
        <w:t>Current tax is the amount expected to be paid to or recovered from the taxation authorities in respect of taxable profits or losses for the current or prior periods. Tax amounts are based on estimates if financial statements are authorised prior to filing relevant tax returns.</w:t>
      </w:r>
    </w:p>
    <w:p w14:paraId="7EF20966" w14:textId="3938AA72" w:rsidR="00A91B56" w:rsidRPr="00EC690A" w:rsidRDefault="00A91B56" w:rsidP="005C18AE">
      <w:pPr>
        <w:spacing w:before="120" w:after="120"/>
        <w:jc w:val="both"/>
        <w:rPr>
          <w:rFonts w:cs="Courier New"/>
          <w:color w:val="000000"/>
          <w:sz w:val="18"/>
          <w:szCs w:val="18"/>
        </w:rPr>
      </w:pPr>
      <w:r w:rsidRPr="00EC690A">
        <w:rPr>
          <w:rFonts w:cs="FuturaBookC"/>
          <w:sz w:val="18"/>
          <w:szCs w:val="18"/>
        </w:rPr>
        <w:lastRenderedPageBreak/>
        <w:t>Deferred income tax is provided using the balance sheet liability method for tax loss carry</w:t>
      </w:r>
      <w:r w:rsidR="00B67903">
        <w:rPr>
          <w:rFonts w:cs="FuturaBookC"/>
          <w:sz w:val="18"/>
          <w:szCs w:val="18"/>
        </w:rPr>
        <w:t xml:space="preserve"> </w:t>
      </w:r>
      <w:r w:rsidRPr="00EC690A">
        <w:rPr>
          <w:rFonts w:cs="FuturaBookC"/>
          <w:sz w:val="18"/>
          <w:szCs w:val="18"/>
        </w:rPr>
        <w:t>forwards and temporary differences arising between the tax bases of assets and liabilities and their carrying amounts for financial reporting purposes</w:t>
      </w:r>
      <w:r w:rsidRPr="00EC690A">
        <w:rPr>
          <w:rFonts w:cs="Courier New"/>
          <w:color w:val="000000"/>
          <w:sz w:val="18"/>
          <w:szCs w:val="18"/>
        </w:rPr>
        <w:t xml:space="preserve">. </w:t>
      </w:r>
    </w:p>
    <w:p w14:paraId="265F93CE" w14:textId="07D210BF" w:rsidR="00A91B56" w:rsidRPr="00EC690A" w:rsidRDefault="00A91B56" w:rsidP="005C18AE">
      <w:pPr>
        <w:spacing w:before="120" w:after="120"/>
        <w:jc w:val="both"/>
        <w:rPr>
          <w:rFonts w:cs="Courier New"/>
          <w:sz w:val="18"/>
          <w:szCs w:val="18"/>
        </w:rPr>
      </w:pPr>
      <w:r w:rsidRPr="00EC690A">
        <w:rPr>
          <w:rFonts w:cs="FuturaBookC"/>
          <w:sz w:val="18"/>
          <w:szCs w:val="18"/>
        </w:rPr>
        <w:t>Deferred tax balances are measured at tax rates enacted or substantively enacted at the reporting date which are expected to apply to the period when the temporary differences will reverse</w:t>
      </w:r>
      <w:r w:rsidR="00B67903">
        <w:rPr>
          <w:rFonts w:cs="FuturaBookC"/>
          <w:sz w:val="18"/>
          <w:szCs w:val="18"/>
        </w:rPr>
        <w:t>,</w:t>
      </w:r>
      <w:r w:rsidRPr="00EC690A">
        <w:rPr>
          <w:rFonts w:cs="FuturaBookC"/>
          <w:sz w:val="18"/>
          <w:szCs w:val="18"/>
        </w:rPr>
        <w:t xml:space="preserve"> or the tax loss carry</w:t>
      </w:r>
      <w:r w:rsidR="00B67903">
        <w:rPr>
          <w:rFonts w:cs="FuturaBookC"/>
          <w:sz w:val="18"/>
          <w:szCs w:val="18"/>
        </w:rPr>
        <w:t xml:space="preserve"> </w:t>
      </w:r>
      <w:r w:rsidRPr="00EC690A">
        <w:rPr>
          <w:rFonts w:cs="FuturaBookC"/>
          <w:sz w:val="18"/>
          <w:szCs w:val="18"/>
        </w:rPr>
        <w:t>forwards will be utilised</w:t>
      </w:r>
      <w:r w:rsidRPr="00EC690A">
        <w:rPr>
          <w:rFonts w:cs="Courier New"/>
          <w:sz w:val="18"/>
          <w:szCs w:val="18"/>
        </w:rPr>
        <w:t xml:space="preserve">. Deferred tax assets and liabilities are offset if there is a legally </w:t>
      </w:r>
      <w:r w:rsidRPr="00EC690A">
        <w:rPr>
          <w:sz w:val="18"/>
          <w:szCs w:val="18"/>
        </w:rPr>
        <w:t>enforceable right to set off current tax assets against current tax liabilities</w:t>
      </w:r>
      <w:r w:rsidRPr="00EC690A">
        <w:rPr>
          <w:rFonts w:cs="Courier New"/>
          <w:sz w:val="18"/>
          <w:szCs w:val="18"/>
        </w:rPr>
        <w:t>. Deferred tax assets for deductible temporary differences and tax loss carry</w:t>
      </w:r>
      <w:r w:rsidR="00B67903">
        <w:rPr>
          <w:rFonts w:cs="Courier New"/>
          <w:sz w:val="18"/>
          <w:szCs w:val="18"/>
        </w:rPr>
        <w:t xml:space="preserve"> </w:t>
      </w:r>
      <w:r w:rsidRPr="00EC690A">
        <w:rPr>
          <w:rFonts w:cs="Courier New"/>
          <w:sz w:val="18"/>
          <w:szCs w:val="18"/>
        </w:rPr>
        <w:t>forwards are recorded to the extent that it is probable that future taxable profit will be available against which the deductions can be utilised</w:t>
      </w:r>
      <w:r w:rsidRPr="00EC690A">
        <w:rPr>
          <w:rFonts w:cs="Courier New"/>
          <w:color w:val="000000"/>
          <w:sz w:val="18"/>
          <w:szCs w:val="18"/>
        </w:rPr>
        <w:t xml:space="preserve">. Judgment is required to determine the amount of deferred tax assets that may be recognised in financial statements </w:t>
      </w:r>
      <w:r w:rsidRPr="00EC690A">
        <w:rPr>
          <w:sz w:val="18"/>
          <w:szCs w:val="18"/>
        </w:rPr>
        <w:t>based on probable periods and amounts of future taxable profits and future tax planning strategies.</w:t>
      </w:r>
    </w:p>
    <w:p w14:paraId="3BB60227" w14:textId="77777777" w:rsidR="00A91B56" w:rsidRPr="00EC690A" w:rsidRDefault="00A91B56" w:rsidP="005C18AE">
      <w:pPr>
        <w:spacing w:before="120" w:after="120"/>
        <w:jc w:val="both"/>
        <w:rPr>
          <w:rFonts w:cs="Courier New"/>
          <w:color w:val="000000"/>
          <w:sz w:val="18"/>
          <w:szCs w:val="18"/>
        </w:rPr>
      </w:pPr>
      <w:r w:rsidRPr="00EC690A">
        <w:rPr>
          <w:rFonts w:cs="Courier New"/>
          <w:sz w:val="18"/>
          <w:szCs w:val="18"/>
        </w:rPr>
        <w:t xml:space="preserve">Azerbaijan also has various other taxes, which are assessed on the Company’s activities. </w:t>
      </w:r>
      <w:r w:rsidRPr="00EC690A">
        <w:rPr>
          <w:sz w:val="18"/>
          <w:szCs w:val="18"/>
        </w:rPr>
        <w:t>These taxes are recorded within operating expenses in the statement of comprehensive income</w:t>
      </w:r>
      <w:r w:rsidRPr="00EC690A">
        <w:rPr>
          <w:rFonts w:cs="Courier New"/>
          <w:color w:val="000000"/>
          <w:sz w:val="18"/>
          <w:szCs w:val="18"/>
        </w:rPr>
        <w:t>.</w:t>
      </w:r>
    </w:p>
    <w:p w14:paraId="507D7479" w14:textId="77777777" w:rsidR="00A91B56" w:rsidRPr="00EC690A" w:rsidRDefault="00A91B56" w:rsidP="00B67903">
      <w:pPr>
        <w:spacing w:before="240" w:after="120"/>
        <w:rPr>
          <w:rFonts w:cs="Courier New"/>
          <w:b/>
          <w:bCs/>
          <w:i/>
          <w:sz w:val="18"/>
          <w:szCs w:val="18"/>
        </w:rPr>
      </w:pPr>
      <w:r w:rsidRPr="00EC690A">
        <w:rPr>
          <w:rFonts w:cs="Courier New"/>
          <w:b/>
          <w:bCs/>
          <w:i/>
          <w:sz w:val="18"/>
          <w:szCs w:val="18"/>
        </w:rPr>
        <w:t>Provisions</w:t>
      </w:r>
    </w:p>
    <w:p w14:paraId="77EA2BC8" w14:textId="77777777" w:rsidR="00A91B56" w:rsidRPr="00EC690A" w:rsidRDefault="00A91B56" w:rsidP="00B67903">
      <w:pPr>
        <w:spacing w:before="120" w:after="120"/>
        <w:rPr>
          <w:rFonts w:cs="Courier New"/>
          <w:bCs/>
          <w:i/>
          <w:sz w:val="18"/>
          <w:szCs w:val="18"/>
        </w:rPr>
      </w:pPr>
      <w:r w:rsidRPr="00EC690A">
        <w:rPr>
          <w:rFonts w:cs="Courier New"/>
          <w:bCs/>
          <w:i/>
          <w:sz w:val="18"/>
          <w:szCs w:val="18"/>
        </w:rPr>
        <w:t>General</w:t>
      </w:r>
    </w:p>
    <w:p w14:paraId="6D9E9216" w14:textId="77777777" w:rsidR="00A91B56" w:rsidRPr="00EC690A" w:rsidRDefault="00A91B56" w:rsidP="00B67903">
      <w:pPr>
        <w:spacing w:before="120" w:after="120"/>
        <w:jc w:val="both"/>
        <w:rPr>
          <w:rFonts w:cs="Courier New"/>
          <w:bCs/>
          <w:sz w:val="18"/>
          <w:szCs w:val="18"/>
        </w:rPr>
      </w:pPr>
      <w:r w:rsidRPr="00EC690A">
        <w:rPr>
          <w:rFonts w:cs="Courier New"/>
          <w:bCs/>
          <w:sz w:val="18"/>
          <w:szCs w:val="18"/>
        </w:rPr>
        <w:t xml:space="preserve">Provisions are recognised when the Company has a present obligation (legal or constructive) as a result of a past event, and it is probable that an outflow of resources embodying economic benefits will be required to settle the obligation and a reliable estimate can be made of the amount of the obligation. Where the Company expects some or </w:t>
      </w:r>
      <w:proofErr w:type="gramStart"/>
      <w:r w:rsidRPr="00EC690A">
        <w:rPr>
          <w:rFonts w:cs="Courier New"/>
          <w:bCs/>
          <w:sz w:val="18"/>
          <w:szCs w:val="18"/>
        </w:rPr>
        <w:t>all of</w:t>
      </w:r>
      <w:proofErr w:type="gramEnd"/>
      <w:r w:rsidRPr="00EC690A">
        <w:rPr>
          <w:rFonts w:cs="Courier New"/>
          <w:bCs/>
          <w:sz w:val="18"/>
          <w:szCs w:val="18"/>
        </w:rPr>
        <w:t xml:space="preserve"> a provision to be reimbursed, the reimbursement is recognised as a separate asset, but only when the reimbursement is virtually certain. The relating to any provision is presented in the statement of profit or loss and other comprehensive income net of any reimbursement.</w:t>
      </w:r>
    </w:p>
    <w:p w14:paraId="77574EB3" w14:textId="77777777" w:rsidR="00A91B56" w:rsidRPr="00EC690A" w:rsidRDefault="00A91B56" w:rsidP="00B67903">
      <w:pPr>
        <w:spacing w:before="120" w:after="120"/>
        <w:rPr>
          <w:rFonts w:cs="Courier New"/>
          <w:bCs/>
          <w:i/>
          <w:sz w:val="18"/>
          <w:szCs w:val="18"/>
        </w:rPr>
      </w:pPr>
      <w:r w:rsidRPr="00EC690A">
        <w:rPr>
          <w:rFonts w:cs="Courier New"/>
          <w:bCs/>
          <w:i/>
          <w:sz w:val="18"/>
          <w:szCs w:val="18"/>
        </w:rPr>
        <w:t>Unused vacations</w:t>
      </w:r>
    </w:p>
    <w:p w14:paraId="6B731AD7" w14:textId="77777777" w:rsidR="00A91B56" w:rsidRPr="00EC690A" w:rsidRDefault="00A91B56" w:rsidP="00B67903">
      <w:pPr>
        <w:spacing w:before="120" w:after="120"/>
        <w:jc w:val="both"/>
        <w:rPr>
          <w:rFonts w:cs="Courier New"/>
          <w:bCs/>
          <w:sz w:val="18"/>
          <w:szCs w:val="18"/>
        </w:rPr>
      </w:pPr>
      <w:r w:rsidRPr="00EC690A">
        <w:rPr>
          <w:rFonts w:cs="Courier New"/>
          <w:bCs/>
          <w:sz w:val="18"/>
          <w:szCs w:val="18"/>
        </w:rPr>
        <w:t>Provision for unused vacation is recognised in the period when that vacations are earned by employees.</w:t>
      </w:r>
    </w:p>
    <w:p w14:paraId="39D9A703" w14:textId="77777777" w:rsidR="00A91B56" w:rsidRPr="00EC690A" w:rsidRDefault="00A91B56" w:rsidP="005C18AE">
      <w:pPr>
        <w:spacing w:before="240" w:after="120"/>
        <w:rPr>
          <w:rFonts w:cs="Courier New"/>
          <w:b/>
          <w:bCs/>
          <w:i/>
          <w:sz w:val="18"/>
          <w:szCs w:val="18"/>
        </w:rPr>
      </w:pPr>
      <w:r w:rsidRPr="00EC690A">
        <w:rPr>
          <w:rFonts w:cs="Courier New"/>
          <w:b/>
          <w:bCs/>
          <w:i/>
          <w:sz w:val="18"/>
          <w:szCs w:val="18"/>
        </w:rPr>
        <w:t>Income and expense recognition</w:t>
      </w:r>
    </w:p>
    <w:p w14:paraId="6DE8F022" w14:textId="2E58439F" w:rsidR="00A91B56" w:rsidRPr="00EC690A" w:rsidRDefault="00A91B56" w:rsidP="005C18AE">
      <w:pPr>
        <w:spacing w:before="120" w:after="120"/>
        <w:jc w:val="both"/>
        <w:rPr>
          <w:sz w:val="18"/>
          <w:szCs w:val="18"/>
        </w:rPr>
      </w:pPr>
      <w:r w:rsidRPr="00EC690A">
        <w:rPr>
          <w:sz w:val="18"/>
          <w:szCs w:val="18"/>
        </w:rPr>
        <w:t xml:space="preserve">Interest income and expense are recorded in the statement of comprehensive income for all debt instruments on an accrual basis using the effective interest method. The effective interest method is a method of calculating the amortised cost of a financial asset or a financial liability and of allocating the interest income or interest expense over the relevant period. The effective interest rate is the rate that exactly discounts estimated future cash payments or receipts through the expected life of the financial instrument to the net carrying amount of the financial asset or financial liability. When calculating the effective interest rate, the Company estimates cash flows considering all contractual terms of the financial </w:t>
      </w:r>
      <w:r w:rsidR="005C18AE" w:rsidRPr="00EC690A">
        <w:rPr>
          <w:sz w:val="18"/>
          <w:szCs w:val="18"/>
        </w:rPr>
        <w:t>instrument but</w:t>
      </w:r>
      <w:r w:rsidRPr="00EC690A">
        <w:rPr>
          <w:sz w:val="18"/>
          <w:szCs w:val="18"/>
        </w:rPr>
        <w:t xml:space="preserve"> does not consider future credit losses. The calculation includes all commissions and fees paid or received by the parties to the contract that are an integral part of the effective interest rate, transaction costs, and all other premiums or discounts.</w:t>
      </w:r>
    </w:p>
    <w:p w14:paraId="1C514496" w14:textId="77777777" w:rsidR="00A91B56" w:rsidRPr="00EC690A" w:rsidRDefault="00A91B56" w:rsidP="005C18AE">
      <w:pPr>
        <w:spacing w:before="120" w:after="120"/>
        <w:jc w:val="both"/>
        <w:rPr>
          <w:sz w:val="18"/>
          <w:szCs w:val="18"/>
        </w:rPr>
      </w:pPr>
      <w:r w:rsidRPr="00EC690A">
        <w:rPr>
          <w:rFonts w:cs="Arial"/>
          <w:sz w:val="18"/>
          <w:szCs w:val="18"/>
        </w:rPr>
        <w:t xml:space="preserve">Interest </w:t>
      </w:r>
      <w:r w:rsidRPr="00EC690A">
        <w:rPr>
          <w:rFonts w:cs="Arial"/>
          <w:bCs/>
          <w:sz w:val="18"/>
          <w:szCs w:val="18"/>
        </w:rPr>
        <w:t>income</w:t>
      </w:r>
      <w:r w:rsidRPr="00EC690A">
        <w:rPr>
          <w:rFonts w:cs="Arial"/>
          <w:sz w:val="18"/>
          <w:szCs w:val="18"/>
        </w:rPr>
        <w:t xml:space="preserve"> includes </w:t>
      </w:r>
      <w:r w:rsidRPr="00EC690A">
        <w:rPr>
          <w:rFonts w:cs="Arial"/>
          <w:bCs/>
          <w:sz w:val="18"/>
          <w:szCs w:val="18"/>
        </w:rPr>
        <w:t>coupons</w:t>
      </w:r>
      <w:r w:rsidRPr="00EC690A">
        <w:rPr>
          <w:rFonts w:cs="Arial"/>
          <w:sz w:val="18"/>
          <w:szCs w:val="18"/>
        </w:rPr>
        <w:t xml:space="preserve"> earned </w:t>
      </w:r>
      <w:r w:rsidRPr="00EC690A">
        <w:rPr>
          <w:rFonts w:cs="Arial"/>
          <w:bCs/>
          <w:sz w:val="18"/>
          <w:szCs w:val="18"/>
        </w:rPr>
        <w:t>on</w:t>
      </w:r>
      <w:r w:rsidRPr="00EC690A">
        <w:rPr>
          <w:rFonts w:cs="Arial"/>
          <w:sz w:val="18"/>
          <w:szCs w:val="18"/>
        </w:rPr>
        <w:t xml:space="preserve"> </w:t>
      </w:r>
      <w:r w:rsidRPr="00EC690A">
        <w:rPr>
          <w:rFonts w:cs="Arial"/>
          <w:bCs/>
          <w:sz w:val="18"/>
          <w:szCs w:val="18"/>
        </w:rPr>
        <w:t>fixed</w:t>
      </w:r>
      <w:r w:rsidRPr="00EC690A">
        <w:rPr>
          <w:rFonts w:cs="Arial"/>
          <w:sz w:val="18"/>
          <w:szCs w:val="18"/>
        </w:rPr>
        <w:t>-</w:t>
      </w:r>
      <w:r w:rsidRPr="00EC690A">
        <w:rPr>
          <w:rFonts w:cs="Arial"/>
          <w:bCs/>
          <w:sz w:val="18"/>
          <w:szCs w:val="18"/>
        </w:rPr>
        <w:t>income</w:t>
      </w:r>
      <w:r w:rsidRPr="00EC690A">
        <w:rPr>
          <w:rFonts w:cs="Arial"/>
          <w:sz w:val="18"/>
          <w:szCs w:val="18"/>
        </w:rPr>
        <w:t xml:space="preserve"> financial assets and accrued discount and premium </w:t>
      </w:r>
      <w:r w:rsidRPr="00EC690A">
        <w:rPr>
          <w:rFonts w:cs="Arial"/>
          <w:bCs/>
          <w:sz w:val="18"/>
          <w:szCs w:val="18"/>
        </w:rPr>
        <w:t>on promissory notes and other</w:t>
      </w:r>
      <w:r w:rsidRPr="00EC690A">
        <w:rPr>
          <w:rFonts w:cs="Arial"/>
          <w:sz w:val="18"/>
          <w:szCs w:val="18"/>
        </w:rPr>
        <w:t xml:space="preserve"> </w:t>
      </w:r>
      <w:r w:rsidRPr="00EC690A">
        <w:rPr>
          <w:sz w:val="18"/>
          <w:szCs w:val="18"/>
        </w:rPr>
        <w:t>discounted instruments. When loans become doubtful of collection, they are written down to their recoverable amounts and interest income is thereafter recognised based on the rate of interest that was used to discount the future cash flows for the purpose of measuring the recoverable amount.</w:t>
      </w:r>
    </w:p>
    <w:p w14:paraId="74C0E842" w14:textId="1EDE310C" w:rsidR="00A91B56" w:rsidRPr="00EC690A" w:rsidRDefault="00A91B56" w:rsidP="005C18AE">
      <w:pPr>
        <w:spacing w:before="120" w:after="120"/>
        <w:jc w:val="both"/>
        <w:rPr>
          <w:sz w:val="18"/>
          <w:szCs w:val="18"/>
        </w:rPr>
      </w:pPr>
      <w:r w:rsidRPr="00EC690A">
        <w:rPr>
          <w:sz w:val="18"/>
          <w:szCs w:val="18"/>
        </w:rPr>
        <w:t xml:space="preserve">Fees, commissions and other income and expense items are recorded on an accrual basis after the service is provided. </w:t>
      </w:r>
    </w:p>
    <w:p w14:paraId="279B2DE7" w14:textId="77777777" w:rsidR="00A91B56" w:rsidRPr="00EC690A" w:rsidRDefault="00A91B56" w:rsidP="005C18AE">
      <w:pPr>
        <w:spacing w:before="240" w:after="120"/>
        <w:rPr>
          <w:rFonts w:cs="Courier New"/>
          <w:b/>
          <w:bCs/>
          <w:i/>
          <w:sz w:val="18"/>
          <w:szCs w:val="18"/>
        </w:rPr>
      </w:pPr>
      <w:r w:rsidRPr="00EC690A">
        <w:rPr>
          <w:rFonts w:cs="Courier New"/>
          <w:b/>
          <w:bCs/>
          <w:i/>
          <w:sz w:val="18"/>
          <w:szCs w:val="18"/>
        </w:rPr>
        <w:t>Employee benefits and social insurance contributions</w:t>
      </w:r>
    </w:p>
    <w:p w14:paraId="073CCF90" w14:textId="77777777" w:rsidR="00A91B56" w:rsidRPr="00EC690A" w:rsidRDefault="00A91B56" w:rsidP="005C18AE">
      <w:pPr>
        <w:pStyle w:val="BodyText"/>
        <w:spacing w:before="120" w:after="120"/>
        <w:ind w:right="0"/>
        <w:rPr>
          <w:sz w:val="18"/>
          <w:szCs w:val="18"/>
        </w:rPr>
      </w:pPr>
      <w:r w:rsidRPr="00EC690A">
        <w:rPr>
          <w:sz w:val="18"/>
          <w:szCs w:val="18"/>
        </w:rPr>
        <w:t xml:space="preserve">The Company pays social security contributions in the territory of Azerbaijan. These contributions are recorded on an accrual basis. The Company </w:t>
      </w:r>
      <w:r w:rsidRPr="00EC690A">
        <w:rPr>
          <w:color w:val="000000"/>
          <w:sz w:val="18"/>
          <w:szCs w:val="18"/>
        </w:rPr>
        <w:t>does not have pension arrangements separate from the state pension system of Azerbaijan</w:t>
      </w:r>
      <w:r w:rsidRPr="00EC690A">
        <w:rPr>
          <w:sz w:val="18"/>
          <w:szCs w:val="18"/>
        </w:rPr>
        <w:t>.</w:t>
      </w:r>
      <w:r w:rsidRPr="00EC690A">
        <w:rPr>
          <w:rFonts w:cs="Arial"/>
          <w:color w:val="000000"/>
          <w:sz w:val="18"/>
          <w:szCs w:val="18"/>
        </w:rPr>
        <w:t xml:space="preserve"> Wages, salaries, contributions to the State Social Protection Fund, paid annual leaves and paid sick leaves, bonuses</w:t>
      </w:r>
      <w:r w:rsidRPr="00EC690A">
        <w:rPr>
          <w:sz w:val="18"/>
          <w:szCs w:val="18"/>
        </w:rPr>
        <w:t xml:space="preserve"> and non-monetary benefits</w:t>
      </w:r>
      <w:r w:rsidRPr="00EC690A">
        <w:rPr>
          <w:rFonts w:cs="Arial"/>
          <w:color w:val="000000"/>
          <w:sz w:val="18"/>
          <w:szCs w:val="18"/>
        </w:rPr>
        <w:t xml:space="preserve"> are accrued as the Company’s employees render the related service</w:t>
      </w:r>
      <w:r w:rsidRPr="00EC690A">
        <w:rPr>
          <w:sz w:val="18"/>
          <w:szCs w:val="18"/>
        </w:rPr>
        <w:t>.</w:t>
      </w:r>
    </w:p>
    <w:p w14:paraId="42F37638" w14:textId="77777777" w:rsidR="00A91B56" w:rsidRPr="00EC690A" w:rsidRDefault="00A91B56" w:rsidP="005C18AE">
      <w:pPr>
        <w:spacing w:before="240" w:after="120"/>
        <w:rPr>
          <w:rFonts w:cs="Courier New"/>
          <w:b/>
          <w:bCs/>
          <w:i/>
          <w:sz w:val="18"/>
          <w:szCs w:val="18"/>
        </w:rPr>
      </w:pPr>
      <w:r w:rsidRPr="00EC690A">
        <w:rPr>
          <w:rFonts w:cs="Courier New"/>
          <w:b/>
          <w:bCs/>
          <w:i/>
          <w:sz w:val="18"/>
          <w:szCs w:val="18"/>
        </w:rPr>
        <w:t>Segment reporting</w:t>
      </w:r>
    </w:p>
    <w:p w14:paraId="110B10F2" w14:textId="77777777" w:rsidR="00A91B56" w:rsidRPr="00EC690A" w:rsidRDefault="00A91B56" w:rsidP="005C18AE">
      <w:pPr>
        <w:pStyle w:val="BodyText"/>
        <w:spacing w:before="120" w:after="120"/>
        <w:rPr>
          <w:sz w:val="18"/>
          <w:szCs w:val="18"/>
        </w:rPr>
      </w:pPr>
      <w:r w:rsidRPr="00EC690A">
        <w:rPr>
          <w:sz w:val="18"/>
          <w:szCs w:val="18"/>
        </w:rPr>
        <w:t xml:space="preserve">Operating segments are identified </w:t>
      </w:r>
      <w:proofErr w:type="gramStart"/>
      <w:r w:rsidRPr="00EC690A">
        <w:rPr>
          <w:sz w:val="18"/>
          <w:szCs w:val="18"/>
        </w:rPr>
        <w:t>on the basis of</w:t>
      </w:r>
      <w:proofErr w:type="gramEnd"/>
      <w:r w:rsidRPr="00EC690A">
        <w:rPr>
          <w:sz w:val="18"/>
          <w:szCs w:val="18"/>
        </w:rPr>
        <w:t xml:space="preserve"> internal reports about components of the Company that are regularly reviewed by the chief operating decision maker in order to allocate resources to the segment and to assess its performance. The Company’s segmental reporting is based on types of insurance products.</w:t>
      </w:r>
    </w:p>
    <w:p w14:paraId="7095DC24" w14:textId="77777777" w:rsidR="00A91B56" w:rsidRPr="00EC690A" w:rsidRDefault="00A91B56" w:rsidP="005C18AE">
      <w:pPr>
        <w:pStyle w:val="BodyText"/>
        <w:spacing w:before="120" w:after="120"/>
        <w:rPr>
          <w:sz w:val="18"/>
          <w:szCs w:val="18"/>
        </w:rPr>
      </w:pPr>
      <w:r w:rsidRPr="00EC690A">
        <w:rPr>
          <w:sz w:val="18"/>
          <w:szCs w:val="18"/>
        </w:rPr>
        <w:t>The Company measures information about reportable segments in accordance with IFRS. Information about reportable operating segment meets any one of the following quantitative thresholds:</w:t>
      </w:r>
    </w:p>
    <w:p w14:paraId="402B552D" w14:textId="77777777" w:rsidR="00A91B56" w:rsidRPr="00EC690A" w:rsidRDefault="00A91B56" w:rsidP="005C18AE">
      <w:pPr>
        <w:numPr>
          <w:ilvl w:val="0"/>
          <w:numId w:val="11"/>
        </w:numPr>
        <w:tabs>
          <w:tab w:val="clear" w:pos="1080"/>
          <w:tab w:val="num" w:pos="426"/>
        </w:tabs>
        <w:spacing w:before="120" w:after="120"/>
        <w:ind w:left="426" w:hanging="426"/>
        <w:jc w:val="both"/>
        <w:rPr>
          <w:sz w:val="18"/>
          <w:szCs w:val="18"/>
        </w:rPr>
      </w:pPr>
      <w:r w:rsidRPr="00EC690A">
        <w:rPr>
          <w:sz w:val="18"/>
          <w:szCs w:val="18"/>
        </w:rPr>
        <w:lastRenderedPageBreak/>
        <w:t>its reported revenue, from both external customers and intersegment sales or transfers, is 10 percent or more of the combined revenue, internal and external, of all operating segments; or</w:t>
      </w:r>
    </w:p>
    <w:p w14:paraId="596F822D" w14:textId="77777777" w:rsidR="00A91B56" w:rsidRPr="00EC690A" w:rsidRDefault="00A91B56" w:rsidP="005C18AE">
      <w:pPr>
        <w:numPr>
          <w:ilvl w:val="0"/>
          <w:numId w:val="11"/>
        </w:numPr>
        <w:tabs>
          <w:tab w:val="clear" w:pos="1080"/>
          <w:tab w:val="num" w:pos="426"/>
        </w:tabs>
        <w:spacing w:before="120" w:after="120"/>
        <w:ind w:left="426" w:hanging="426"/>
        <w:jc w:val="both"/>
        <w:rPr>
          <w:sz w:val="18"/>
          <w:szCs w:val="18"/>
        </w:rPr>
      </w:pPr>
      <w:r w:rsidRPr="00EC690A">
        <w:rPr>
          <w:sz w:val="18"/>
          <w:szCs w:val="18"/>
        </w:rPr>
        <w:t>the absolute measure of its reported profit or loss is 10 percent or more of the greater, in absolute amount, of (</w:t>
      </w:r>
      <w:proofErr w:type="spellStart"/>
      <w:r w:rsidRPr="00EC690A">
        <w:rPr>
          <w:sz w:val="18"/>
          <w:szCs w:val="18"/>
        </w:rPr>
        <w:t>i</w:t>
      </w:r>
      <w:proofErr w:type="spellEnd"/>
      <w:r w:rsidRPr="00EC690A">
        <w:rPr>
          <w:sz w:val="18"/>
          <w:szCs w:val="18"/>
        </w:rPr>
        <w:t>) the combined reported profit of all operating segments that did not report a loss and (ii) the combined reported loss of all operating segments that reported a loss; or</w:t>
      </w:r>
    </w:p>
    <w:p w14:paraId="25E1E898" w14:textId="77777777" w:rsidR="00A91B56" w:rsidRPr="00EC690A" w:rsidRDefault="00A91B56" w:rsidP="005C18AE">
      <w:pPr>
        <w:numPr>
          <w:ilvl w:val="0"/>
          <w:numId w:val="11"/>
        </w:numPr>
        <w:tabs>
          <w:tab w:val="clear" w:pos="1080"/>
          <w:tab w:val="num" w:pos="426"/>
        </w:tabs>
        <w:spacing w:before="120" w:after="120"/>
        <w:ind w:left="426" w:hanging="426"/>
        <w:jc w:val="both"/>
        <w:rPr>
          <w:sz w:val="18"/>
          <w:szCs w:val="18"/>
        </w:rPr>
      </w:pPr>
      <w:r w:rsidRPr="00EC690A">
        <w:rPr>
          <w:sz w:val="18"/>
          <w:szCs w:val="18"/>
        </w:rPr>
        <w:t>its assets are 10 percent or more of the combined assets of all operating segments.</w:t>
      </w:r>
    </w:p>
    <w:p w14:paraId="66A4C670" w14:textId="1B7B2A92" w:rsidR="00A91B56" w:rsidRDefault="00A91B56" w:rsidP="005C18AE">
      <w:pPr>
        <w:spacing w:before="120" w:after="120"/>
        <w:jc w:val="both"/>
        <w:rPr>
          <w:sz w:val="18"/>
          <w:szCs w:val="18"/>
        </w:rPr>
      </w:pPr>
      <w:r w:rsidRPr="00EC690A">
        <w:rPr>
          <w:sz w:val="18"/>
          <w:szCs w:val="18"/>
        </w:rPr>
        <w:t>If the total external revenue reported by operating segments constitutes less than 75 percent of the entity's revenue, additional operating segments are identified as reportable segments (even if they do not meet the quantitative thresholds set).</w:t>
      </w:r>
    </w:p>
    <w:p w14:paraId="61D6F077" w14:textId="1D40F30D" w:rsidR="00A91B56" w:rsidRPr="005C18AE" w:rsidRDefault="00A91B56" w:rsidP="005C18AE">
      <w:pPr>
        <w:pStyle w:val="ListParagraph"/>
        <w:numPr>
          <w:ilvl w:val="0"/>
          <w:numId w:val="1"/>
        </w:numPr>
        <w:spacing w:before="240" w:after="120"/>
        <w:ind w:left="357" w:hanging="357"/>
        <w:contextualSpacing w:val="0"/>
        <w:outlineLvl w:val="0"/>
        <w:rPr>
          <w:b/>
          <w:bCs/>
          <w:sz w:val="18"/>
          <w:szCs w:val="18"/>
          <w:lang w:val="en-US"/>
        </w:rPr>
      </w:pPr>
      <w:bookmarkStart w:id="26" w:name="_Toc457467595"/>
      <w:bookmarkStart w:id="27" w:name="_Toc288066357"/>
      <w:bookmarkStart w:id="28" w:name="_Toc288067707"/>
      <w:bookmarkStart w:id="29" w:name="_Toc57894890"/>
      <w:r w:rsidRPr="005C18AE">
        <w:rPr>
          <w:b/>
          <w:bCs/>
          <w:sz w:val="18"/>
          <w:szCs w:val="18"/>
          <w:lang w:val="en-US"/>
        </w:rPr>
        <w:t>Critical Accounting Estimates and Judgments</w:t>
      </w:r>
      <w:bookmarkEnd w:id="26"/>
      <w:bookmarkEnd w:id="29"/>
      <w:r w:rsidRPr="005C18AE">
        <w:rPr>
          <w:b/>
          <w:bCs/>
          <w:sz w:val="18"/>
          <w:szCs w:val="18"/>
          <w:lang w:val="en-US"/>
        </w:rPr>
        <w:t xml:space="preserve"> </w:t>
      </w:r>
      <w:bookmarkEnd w:id="27"/>
      <w:bookmarkEnd w:id="28"/>
    </w:p>
    <w:p w14:paraId="3688C679" w14:textId="77777777" w:rsidR="00AB3163" w:rsidRDefault="005C18AE" w:rsidP="005C18AE">
      <w:pPr>
        <w:spacing w:before="120" w:after="120"/>
        <w:jc w:val="both"/>
        <w:rPr>
          <w:sz w:val="18"/>
          <w:szCs w:val="18"/>
        </w:rPr>
      </w:pPr>
      <w:r>
        <w:rPr>
          <w:sz w:val="18"/>
          <w:szCs w:val="18"/>
        </w:rPr>
        <w:t>The preparation of financial statements requires</w:t>
      </w:r>
      <w:r w:rsidR="00AB3163">
        <w:rPr>
          <w:sz w:val="18"/>
          <w:szCs w:val="18"/>
        </w:rPr>
        <w:t xml:space="preserve"> the use of accounting estimates which, by definition, will seldom equal the actual results. The Company makes certain estimates and assumptions regarding the future. The management also needs to exercise judgement in applying the accounting policies.</w:t>
      </w:r>
    </w:p>
    <w:p w14:paraId="0DD3FD1E" w14:textId="118D910B" w:rsidR="00A91B56" w:rsidRPr="00EC690A" w:rsidRDefault="00A91B56" w:rsidP="005C18AE">
      <w:pPr>
        <w:spacing w:before="120" w:after="120"/>
        <w:jc w:val="both"/>
        <w:rPr>
          <w:sz w:val="18"/>
          <w:szCs w:val="18"/>
        </w:rPr>
      </w:pPr>
      <w:r w:rsidRPr="00EC690A">
        <w:rPr>
          <w:sz w:val="18"/>
          <w:szCs w:val="18"/>
        </w:rPr>
        <w:t xml:space="preserve">Estimates and judgments are continually evaluated based on historical experience and other factors, including expectations of future events that are believed to be reasonable under the circumstances. In the future, actual experience may </w:t>
      </w:r>
      <w:r w:rsidR="00AB3163">
        <w:rPr>
          <w:sz w:val="18"/>
          <w:szCs w:val="18"/>
        </w:rPr>
        <w:t>deviate</w:t>
      </w:r>
      <w:r w:rsidRPr="00EC690A">
        <w:rPr>
          <w:sz w:val="18"/>
          <w:szCs w:val="18"/>
        </w:rPr>
        <w:t xml:space="preserve"> from these estimates and assumptions. </w:t>
      </w:r>
      <w:r w:rsidR="00AB3163">
        <w:rPr>
          <w:sz w:val="18"/>
          <w:szCs w:val="18"/>
        </w:rPr>
        <w:t xml:space="preserve">Key sources of </w:t>
      </w:r>
      <w:proofErr w:type="gramStart"/>
      <w:r w:rsidR="00AB3163">
        <w:rPr>
          <w:sz w:val="18"/>
          <w:szCs w:val="18"/>
        </w:rPr>
        <w:t xml:space="preserve">estimation </w:t>
      </w:r>
      <w:r w:rsidRPr="00EC690A">
        <w:rPr>
          <w:sz w:val="18"/>
          <w:szCs w:val="18"/>
        </w:rPr>
        <w:t xml:space="preserve"> </w:t>
      </w:r>
      <w:r w:rsidR="00AB3163">
        <w:rPr>
          <w:sz w:val="18"/>
          <w:szCs w:val="18"/>
        </w:rPr>
        <w:t>uncertainty</w:t>
      </w:r>
      <w:proofErr w:type="gramEnd"/>
      <w:r w:rsidR="00AB3163">
        <w:rPr>
          <w:sz w:val="18"/>
          <w:szCs w:val="18"/>
        </w:rPr>
        <w:t xml:space="preserve"> that have a significant risk of causing a material adjustment to the carrying amounts of assets and liabilities within the next financial year are </w:t>
      </w:r>
      <w:r w:rsidRPr="00EC690A">
        <w:rPr>
          <w:sz w:val="18"/>
          <w:szCs w:val="18"/>
        </w:rPr>
        <w:t>discussed below.</w:t>
      </w:r>
    </w:p>
    <w:p w14:paraId="18A2335B" w14:textId="77777777" w:rsidR="00A91B56" w:rsidRPr="00EC690A" w:rsidRDefault="00A91B56" w:rsidP="005C18AE">
      <w:pPr>
        <w:spacing w:before="240" w:after="120"/>
        <w:rPr>
          <w:rFonts w:cs="Courier New"/>
          <w:b/>
          <w:bCs/>
          <w:i/>
          <w:sz w:val="18"/>
          <w:szCs w:val="18"/>
        </w:rPr>
      </w:pPr>
      <w:r w:rsidRPr="00EC690A">
        <w:rPr>
          <w:rFonts w:cs="Courier New"/>
          <w:b/>
          <w:bCs/>
          <w:i/>
          <w:sz w:val="18"/>
          <w:szCs w:val="18"/>
        </w:rPr>
        <w:t>Reserves for claims</w:t>
      </w:r>
    </w:p>
    <w:p w14:paraId="2198DA2A" w14:textId="77777777" w:rsidR="00A91B56" w:rsidRPr="00EC690A" w:rsidRDefault="00A91B56" w:rsidP="005C18AE">
      <w:pPr>
        <w:spacing w:before="120" w:after="120"/>
        <w:jc w:val="both"/>
        <w:rPr>
          <w:sz w:val="18"/>
          <w:szCs w:val="18"/>
        </w:rPr>
      </w:pPr>
      <w:r w:rsidRPr="00EC690A">
        <w:rPr>
          <w:sz w:val="18"/>
          <w:szCs w:val="18"/>
        </w:rPr>
        <w:t xml:space="preserve">Loss reserves are particularly dependent on the use of estimates and judgment regarding the development of loss expectations. Reserves are calculated for individual lines of business, taking into consideration a wide range of factors. This reserving process begins with actuaries gathering data, typically dividing reserving data into the smallest possible homogeneous segments, while maintaining </w:t>
      </w:r>
      <w:proofErr w:type="gramStart"/>
      <w:r w:rsidRPr="00EC690A">
        <w:rPr>
          <w:sz w:val="18"/>
          <w:szCs w:val="18"/>
        </w:rPr>
        <w:t>sufficient</w:t>
      </w:r>
      <w:proofErr w:type="gramEnd"/>
      <w:r w:rsidRPr="00EC690A">
        <w:rPr>
          <w:sz w:val="18"/>
          <w:szCs w:val="18"/>
        </w:rPr>
        <w:t xml:space="preserve"> volume to form the basis for stable projections.</w:t>
      </w:r>
    </w:p>
    <w:p w14:paraId="7FF64842" w14:textId="77777777" w:rsidR="00A91B56" w:rsidRPr="00EC690A" w:rsidRDefault="00A91B56" w:rsidP="005C18AE">
      <w:pPr>
        <w:spacing w:before="120" w:after="120"/>
        <w:jc w:val="both"/>
        <w:rPr>
          <w:sz w:val="18"/>
          <w:szCs w:val="18"/>
        </w:rPr>
      </w:pPr>
      <w:r w:rsidRPr="00EC690A">
        <w:rPr>
          <w:sz w:val="18"/>
          <w:szCs w:val="18"/>
        </w:rPr>
        <w:t xml:space="preserve">Once data is collected, they derive patterns of loss payment and emergence of claims based on historical data organised into development triangles arrayed by accident year versus development year. Loss payment and reporting patterns are selected based on observed historical development factors </w:t>
      </w:r>
      <w:proofErr w:type="gramStart"/>
      <w:r w:rsidRPr="00EC690A">
        <w:rPr>
          <w:sz w:val="18"/>
          <w:szCs w:val="18"/>
        </w:rPr>
        <w:t>and also</w:t>
      </w:r>
      <w:proofErr w:type="gramEnd"/>
      <w:r w:rsidRPr="00EC690A">
        <w:rPr>
          <w:sz w:val="18"/>
          <w:szCs w:val="18"/>
        </w:rPr>
        <w:t xml:space="preserve"> on the judgment of the reserving actuary using an understanding of the underlying business, claims processes, data and systems as well as the market, economic, societal and legal environment. Expected loss ratios are then developed, which are derived from the analysis of historical observed loss ratios, adjusted for a range of factors such as loss development, claims inflation, changes in premium rates, changes in portfolio mix and change in policy terms and conditions.</w:t>
      </w:r>
    </w:p>
    <w:p w14:paraId="263F055D" w14:textId="77777777" w:rsidR="00A91B56" w:rsidRPr="00EC690A" w:rsidRDefault="00A91B56" w:rsidP="005C18AE">
      <w:pPr>
        <w:spacing w:before="120" w:after="120"/>
        <w:jc w:val="both"/>
        <w:rPr>
          <w:sz w:val="18"/>
          <w:szCs w:val="18"/>
        </w:rPr>
      </w:pPr>
      <w:r w:rsidRPr="00EC690A">
        <w:rPr>
          <w:sz w:val="18"/>
          <w:szCs w:val="18"/>
        </w:rPr>
        <w:t>Using the development patterns and expected loss ratios described above, local reserving actuaries produce estimates of ultimate loss and allocated loss adjustment expenses.</w:t>
      </w:r>
    </w:p>
    <w:p w14:paraId="5ABD7E26" w14:textId="77777777" w:rsidR="00A91B56" w:rsidRPr="00EC690A" w:rsidRDefault="00A91B56" w:rsidP="005C18AE">
      <w:pPr>
        <w:spacing w:before="120" w:after="120"/>
        <w:jc w:val="both"/>
        <w:rPr>
          <w:sz w:val="18"/>
          <w:szCs w:val="18"/>
        </w:rPr>
      </w:pPr>
      <w:r w:rsidRPr="00EC690A">
        <w:rPr>
          <w:sz w:val="18"/>
          <w:szCs w:val="18"/>
        </w:rPr>
        <w:t>Later the Company regularly reviews the reserving processes, including the appropriateness and consistency of assumptions.</w:t>
      </w:r>
    </w:p>
    <w:p w14:paraId="329D6EF1" w14:textId="77777777" w:rsidR="00A91B56" w:rsidRPr="00EC690A" w:rsidRDefault="00A91B56" w:rsidP="00234EB6">
      <w:pPr>
        <w:spacing w:before="240" w:after="120"/>
        <w:rPr>
          <w:rFonts w:cs="Courier New"/>
          <w:b/>
          <w:bCs/>
          <w:i/>
          <w:sz w:val="18"/>
          <w:szCs w:val="18"/>
        </w:rPr>
      </w:pPr>
      <w:r w:rsidRPr="00EC690A">
        <w:rPr>
          <w:rFonts w:cs="Courier New"/>
          <w:b/>
          <w:bCs/>
          <w:i/>
          <w:sz w:val="18"/>
          <w:szCs w:val="18"/>
        </w:rPr>
        <w:t>Fair value of financial instruments</w:t>
      </w:r>
    </w:p>
    <w:p w14:paraId="5CB5E60C" w14:textId="77777777" w:rsidR="00A91B56" w:rsidRPr="00EC690A" w:rsidRDefault="00A91B56" w:rsidP="00234EB6">
      <w:pPr>
        <w:spacing w:before="120" w:after="120"/>
        <w:jc w:val="both"/>
        <w:rPr>
          <w:sz w:val="18"/>
          <w:szCs w:val="18"/>
        </w:rPr>
      </w:pPr>
      <w:r w:rsidRPr="00EC690A">
        <w:rPr>
          <w:sz w:val="18"/>
          <w:szCs w:val="18"/>
        </w:rPr>
        <w:t>The Company determines the fair value of financial instruments that are not quoted, using valuation techniques. Those techniques are significantly affected by the assumptions used, including discount rates and estimates of future cash flows. In that regard, the derived fair value estimates cannot always be substantiated by comparison with independent markets and, in many cases, may not be capable of being realised immediately.</w:t>
      </w:r>
    </w:p>
    <w:p w14:paraId="4B963B1B" w14:textId="77777777" w:rsidR="00A91B56" w:rsidRPr="00EC690A" w:rsidRDefault="00A91B56" w:rsidP="00234EB6">
      <w:pPr>
        <w:spacing w:before="240" w:after="120"/>
        <w:rPr>
          <w:rFonts w:cs="Courier New"/>
          <w:b/>
          <w:bCs/>
          <w:i/>
          <w:sz w:val="18"/>
          <w:szCs w:val="18"/>
        </w:rPr>
      </w:pPr>
      <w:r w:rsidRPr="00EC690A">
        <w:rPr>
          <w:rFonts w:cs="Courier New"/>
          <w:b/>
          <w:bCs/>
          <w:i/>
          <w:sz w:val="18"/>
          <w:szCs w:val="18"/>
        </w:rPr>
        <w:t>Valuation of investment property and buildings</w:t>
      </w:r>
    </w:p>
    <w:p w14:paraId="5D664AAE" w14:textId="77777777" w:rsidR="00A91B56" w:rsidRPr="00EC690A" w:rsidRDefault="00A91B56" w:rsidP="00234EB6">
      <w:pPr>
        <w:spacing w:before="120" w:after="120"/>
        <w:jc w:val="both"/>
        <w:rPr>
          <w:sz w:val="18"/>
          <w:szCs w:val="18"/>
        </w:rPr>
      </w:pPr>
      <w:r w:rsidRPr="00EC690A">
        <w:rPr>
          <w:sz w:val="18"/>
          <w:szCs w:val="18"/>
        </w:rPr>
        <w:t xml:space="preserve">The Company obtains valuations performed by external valuers in order to determine the fair value of its investment properties. These valuations are based upon assumptions including future rental income, anticipated maintenance costs, future development costs and the appropriate discount rate. The valuers also </w:t>
      </w:r>
      <w:proofErr w:type="gramStart"/>
      <w:r w:rsidRPr="00EC690A">
        <w:rPr>
          <w:sz w:val="18"/>
          <w:szCs w:val="18"/>
        </w:rPr>
        <w:t>make reference</w:t>
      </w:r>
      <w:proofErr w:type="gramEnd"/>
      <w:r w:rsidRPr="00EC690A">
        <w:rPr>
          <w:sz w:val="18"/>
          <w:szCs w:val="18"/>
        </w:rPr>
        <w:t xml:space="preserve"> to market evidence of transaction prices for similar properties. </w:t>
      </w:r>
    </w:p>
    <w:p w14:paraId="52F08DC0" w14:textId="77777777" w:rsidR="00A91B56" w:rsidRPr="00EC690A" w:rsidRDefault="00A91B56" w:rsidP="00234EB6">
      <w:pPr>
        <w:spacing w:before="120" w:after="120"/>
        <w:jc w:val="both"/>
        <w:rPr>
          <w:sz w:val="18"/>
          <w:szCs w:val="18"/>
        </w:rPr>
      </w:pPr>
      <w:r w:rsidRPr="00EC690A">
        <w:rPr>
          <w:sz w:val="18"/>
          <w:szCs w:val="18"/>
        </w:rPr>
        <w:t xml:space="preserve">The lack of comparable market transactions has resulted in a greater level of professional judgement being relied upon in arriving at valuations. Changes in the underlying assumptions could have a significant impact on the fair values presented. </w:t>
      </w:r>
    </w:p>
    <w:p w14:paraId="717AE7DF" w14:textId="1EB19D62" w:rsidR="00A91B56" w:rsidRPr="00EC690A" w:rsidRDefault="00A91B56" w:rsidP="00234EB6">
      <w:pPr>
        <w:spacing w:before="120" w:after="120"/>
        <w:jc w:val="both"/>
        <w:rPr>
          <w:sz w:val="18"/>
          <w:szCs w:val="18"/>
        </w:rPr>
      </w:pPr>
      <w:r w:rsidRPr="00F57670">
        <w:rPr>
          <w:sz w:val="18"/>
          <w:szCs w:val="18"/>
        </w:rPr>
        <w:t>Further information in relation to the valuation of investment property is disclosed in Note 1</w:t>
      </w:r>
      <w:r w:rsidR="00F57670" w:rsidRPr="00F57670">
        <w:rPr>
          <w:sz w:val="18"/>
          <w:szCs w:val="18"/>
        </w:rPr>
        <w:t>3</w:t>
      </w:r>
      <w:r w:rsidRPr="00F57670">
        <w:rPr>
          <w:sz w:val="18"/>
          <w:szCs w:val="18"/>
        </w:rPr>
        <w:t xml:space="preserve"> and in relation to the valuation of land and buildings in Note 11.</w:t>
      </w:r>
    </w:p>
    <w:p w14:paraId="131E5026" w14:textId="31F4DFD4" w:rsidR="00A91B56" w:rsidRPr="00EC690A" w:rsidRDefault="00A91B56" w:rsidP="00234EB6">
      <w:pPr>
        <w:spacing w:before="240" w:after="120"/>
        <w:rPr>
          <w:rFonts w:cs="Courier New"/>
          <w:b/>
          <w:bCs/>
          <w:i/>
          <w:sz w:val="18"/>
          <w:szCs w:val="18"/>
        </w:rPr>
      </w:pPr>
      <w:r w:rsidRPr="00EC690A">
        <w:rPr>
          <w:rFonts w:cs="Courier New"/>
          <w:b/>
          <w:bCs/>
          <w:i/>
          <w:sz w:val="18"/>
          <w:szCs w:val="18"/>
        </w:rPr>
        <w:lastRenderedPageBreak/>
        <w:t>Useful lives of property and equipment</w:t>
      </w:r>
      <w:r w:rsidR="00234EB6">
        <w:rPr>
          <w:rFonts w:cs="Courier New"/>
          <w:b/>
          <w:bCs/>
          <w:i/>
          <w:sz w:val="18"/>
          <w:szCs w:val="18"/>
        </w:rPr>
        <w:t xml:space="preserve"> and intangible assets</w:t>
      </w:r>
    </w:p>
    <w:p w14:paraId="0CF57848" w14:textId="4ED542F9" w:rsidR="00A91B56" w:rsidRDefault="00234EB6" w:rsidP="00234EB6">
      <w:pPr>
        <w:spacing w:before="120" w:after="120"/>
        <w:jc w:val="both"/>
        <w:rPr>
          <w:sz w:val="18"/>
          <w:szCs w:val="18"/>
        </w:rPr>
      </w:pPr>
      <w:r w:rsidRPr="00234EB6">
        <w:rPr>
          <w:sz w:val="18"/>
          <w:szCs w:val="18"/>
        </w:rPr>
        <w:t xml:space="preserve">The Company assesses the remaining useful life of the property and equipment and intangible assets at least at the end of each financial year and, if expectations differ from previous estimates, the changes are shown as changes in accounting estimates as per IAS 8 Accounting policies, changes in accounting estimates and errors. These estimates may have a significant effect on the carrying amounts of the property and equipment and those of intangible assets as well as the amount of depreciation and amortisation recognised in profit and loss. </w:t>
      </w:r>
      <w:r w:rsidR="00A91B56" w:rsidRPr="00EC690A">
        <w:rPr>
          <w:sz w:val="18"/>
          <w:szCs w:val="18"/>
        </w:rPr>
        <w:t xml:space="preserve"> </w:t>
      </w:r>
    </w:p>
    <w:p w14:paraId="401417A8" w14:textId="77777777" w:rsidR="00A91B56" w:rsidRPr="00EC690A" w:rsidRDefault="00A91B56" w:rsidP="00077391">
      <w:pPr>
        <w:spacing w:before="240" w:after="120"/>
        <w:jc w:val="both"/>
        <w:rPr>
          <w:rFonts w:cs="Courier New"/>
          <w:b/>
          <w:bCs/>
          <w:i/>
          <w:sz w:val="18"/>
          <w:szCs w:val="18"/>
        </w:rPr>
      </w:pPr>
      <w:r w:rsidRPr="00EC690A">
        <w:rPr>
          <w:rFonts w:cs="Courier New"/>
          <w:b/>
          <w:bCs/>
          <w:i/>
          <w:sz w:val="18"/>
          <w:szCs w:val="18"/>
        </w:rPr>
        <w:t>Legal proceedings</w:t>
      </w:r>
    </w:p>
    <w:p w14:paraId="5DDC5608" w14:textId="77777777" w:rsidR="00A91B56" w:rsidRPr="00EC690A" w:rsidRDefault="00A91B56" w:rsidP="00077391">
      <w:pPr>
        <w:spacing w:before="120" w:after="120"/>
        <w:jc w:val="both"/>
        <w:rPr>
          <w:sz w:val="18"/>
          <w:szCs w:val="18"/>
        </w:rPr>
      </w:pPr>
      <w:r w:rsidRPr="00EC690A">
        <w:rPr>
          <w:sz w:val="18"/>
          <w:szCs w:val="18"/>
        </w:rPr>
        <w:t>In accordance with IFRS the Company recognises a provision where there is a present obligation from a past event, a transfer of economic benefits is probable and the amount of costs of the transfer can be estimated reliably. In instances where the criteria are not met, a contingent liability may be disclosed in the notes to the financial statements. Obligations arising in respect of contingent liabilities that have been disclosed, or those which are not currently recognised or disclosed in the financial statements, could have a material effect on the Company's financial position. Application of these accounting principles to legal cases requires the Company's management to make determinations about various factual and legal matters beyond its control. The Company reviews outstanding legal cases following developments in the legal proceedings and at each reporting date, in order to assess the need for provisions and disclosures in its financial statements. Among the factors considered in making decisions on provisions are the nature of litigation, claim or assessment, the legal process and potential level of damages in the jurisdiction in which the litigation, claim or assessment has been brought, the progress of the case (including the progress after the date of the financial statements but before those statements are issued), the opinions or views of legal advisers, experience on similar cases and any decision of the Company's management as to how it will respond to the litigation, claim or assessment.</w:t>
      </w:r>
    </w:p>
    <w:p w14:paraId="68DD4E1D" w14:textId="77777777" w:rsidR="00A91B56" w:rsidRPr="00EC690A" w:rsidRDefault="00A91B56" w:rsidP="00077391">
      <w:pPr>
        <w:spacing w:before="240" w:after="120"/>
        <w:rPr>
          <w:rFonts w:cs="Courier New"/>
          <w:b/>
          <w:bCs/>
          <w:i/>
          <w:sz w:val="18"/>
          <w:szCs w:val="18"/>
        </w:rPr>
      </w:pPr>
      <w:r w:rsidRPr="00EC690A">
        <w:rPr>
          <w:rFonts w:cs="Courier New"/>
          <w:b/>
          <w:bCs/>
          <w:i/>
          <w:sz w:val="18"/>
          <w:szCs w:val="18"/>
        </w:rPr>
        <w:t>Income taxes</w:t>
      </w:r>
    </w:p>
    <w:p w14:paraId="273DF2CB" w14:textId="77777777" w:rsidR="00077391" w:rsidRDefault="00077391" w:rsidP="00077391">
      <w:pPr>
        <w:spacing w:before="120" w:after="120"/>
        <w:jc w:val="both"/>
        <w:rPr>
          <w:sz w:val="18"/>
          <w:szCs w:val="18"/>
        </w:rPr>
      </w:pPr>
      <w:r>
        <w:rPr>
          <w:sz w:val="18"/>
          <w:szCs w:val="18"/>
        </w:rPr>
        <w:t>During the ordinary course of business, there are many transactions and calculations for which the ultimate tax determination is uncertain. As a result, the Company recognises tax liabilities based on estimates of whether additional taxes and interest will be due.</w:t>
      </w:r>
    </w:p>
    <w:p w14:paraId="0CE0C9B6" w14:textId="77777777" w:rsidR="00077391" w:rsidRDefault="00A91B56" w:rsidP="00077391">
      <w:pPr>
        <w:spacing w:before="120" w:after="120"/>
        <w:jc w:val="both"/>
        <w:rPr>
          <w:sz w:val="18"/>
          <w:szCs w:val="18"/>
        </w:rPr>
      </w:pPr>
      <w:r w:rsidRPr="00EC690A">
        <w:rPr>
          <w:sz w:val="18"/>
          <w:szCs w:val="18"/>
        </w:rPr>
        <w:t xml:space="preserve">These tax liabilities are recognised when, despite the </w:t>
      </w:r>
      <w:r w:rsidR="00077391">
        <w:rPr>
          <w:sz w:val="18"/>
          <w:szCs w:val="18"/>
        </w:rPr>
        <w:t>C</w:t>
      </w:r>
      <w:r w:rsidRPr="00EC690A">
        <w:rPr>
          <w:sz w:val="18"/>
          <w:szCs w:val="18"/>
        </w:rPr>
        <w:t xml:space="preserve">ompany's belief that its tax return positions are supportable, the </w:t>
      </w:r>
      <w:r w:rsidR="00077391">
        <w:rPr>
          <w:sz w:val="18"/>
          <w:szCs w:val="18"/>
        </w:rPr>
        <w:t>C</w:t>
      </w:r>
      <w:r w:rsidRPr="00EC690A">
        <w:rPr>
          <w:sz w:val="18"/>
          <w:szCs w:val="18"/>
        </w:rPr>
        <w:t>ompany believes that certain positions are likely to be challenged and may not be fully sustained upon review by tax authorities.</w:t>
      </w:r>
    </w:p>
    <w:p w14:paraId="0D0AAD3E" w14:textId="5BD70455" w:rsidR="00A91B56" w:rsidRPr="00EC690A" w:rsidRDefault="00077391" w:rsidP="00077391">
      <w:pPr>
        <w:spacing w:before="120" w:after="120"/>
        <w:jc w:val="both"/>
        <w:rPr>
          <w:sz w:val="18"/>
          <w:szCs w:val="18"/>
        </w:rPr>
      </w:pPr>
      <w:r>
        <w:rPr>
          <w:sz w:val="18"/>
          <w:szCs w:val="18"/>
        </w:rPr>
        <w:t xml:space="preserve">As a result, the Company minimizes the risk to this fact. The Company </w:t>
      </w:r>
      <w:r w:rsidR="00A91B56" w:rsidRPr="00EC690A">
        <w:rPr>
          <w:sz w:val="18"/>
          <w:szCs w:val="18"/>
        </w:rPr>
        <w:t xml:space="preserve">believes that its accruals for tax liabilities are adequate for all years based on its assessment of many factors including </w:t>
      </w:r>
      <w:proofErr w:type="gramStart"/>
      <w:r w:rsidR="00A91B56" w:rsidRPr="00EC690A">
        <w:rPr>
          <w:sz w:val="18"/>
          <w:szCs w:val="18"/>
        </w:rPr>
        <w:t>past experience</w:t>
      </w:r>
      <w:proofErr w:type="gramEnd"/>
      <w:r w:rsidR="00A91B56" w:rsidRPr="00EC690A">
        <w:rPr>
          <w:sz w:val="18"/>
          <w:szCs w:val="18"/>
        </w:rPr>
        <w:t xml:space="preserve"> and interpretations of tax law. This assessment relies on estimates and assumptions and may involve a series of complex judgments about future events. To the extent that the final tax outcome of these matters is different than the amounts recorded, such differences will impact income tax expense in the period in which such determination is made.</w:t>
      </w:r>
      <w:bookmarkStart w:id="30" w:name="_Toc286874133"/>
      <w:bookmarkStart w:id="31" w:name="wp998498"/>
      <w:bookmarkStart w:id="32" w:name="wp998500"/>
      <w:bookmarkStart w:id="33" w:name="wp998502"/>
      <w:bookmarkStart w:id="34" w:name="wp998504"/>
      <w:bookmarkStart w:id="35" w:name="_Toc125734204"/>
      <w:bookmarkStart w:id="36" w:name="_Toc125734377"/>
      <w:bookmarkStart w:id="37" w:name="_Toc125734616"/>
      <w:bookmarkStart w:id="38" w:name="_Toc125734924"/>
      <w:bookmarkStart w:id="39" w:name="_Toc125734206"/>
      <w:bookmarkStart w:id="40" w:name="_Toc125734379"/>
      <w:bookmarkStart w:id="41" w:name="_Toc125734618"/>
      <w:bookmarkStart w:id="42" w:name="_Toc125734926"/>
      <w:bookmarkStart w:id="43" w:name="_Toc125734208"/>
      <w:bookmarkStart w:id="44" w:name="_Toc125734381"/>
      <w:bookmarkStart w:id="45" w:name="_Toc125734620"/>
      <w:bookmarkStart w:id="46" w:name="_Toc1257349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EE4C540" w14:textId="77777777" w:rsidR="00A91B56" w:rsidRDefault="00A91B56" w:rsidP="00A91B56"/>
    <w:p w14:paraId="150EDA7C" w14:textId="46C3E5DD" w:rsidR="000B7759" w:rsidRPr="00077391" w:rsidRDefault="005168A2" w:rsidP="00077391">
      <w:pPr>
        <w:pStyle w:val="ListParagraph"/>
        <w:numPr>
          <w:ilvl w:val="0"/>
          <w:numId w:val="1"/>
        </w:numPr>
        <w:spacing w:before="240" w:after="120"/>
        <w:ind w:left="357" w:hanging="357"/>
        <w:contextualSpacing w:val="0"/>
        <w:outlineLvl w:val="0"/>
        <w:rPr>
          <w:b/>
          <w:bCs/>
          <w:sz w:val="18"/>
          <w:szCs w:val="18"/>
          <w:lang w:val="en-US"/>
        </w:rPr>
      </w:pPr>
      <w:bookmarkStart w:id="47" w:name="_Toc57894891"/>
      <w:r>
        <w:rPr>
          <w:b/>
          <w:bCs/>
          <w:sz w:val="18"/>
          <w:szCs w:val="18"/>
          <w:lang w:val="en-US"/>
        </w:rPr>
        <w:t>Cash and bank accounts</w:t>
      </w:r>
      <w:bookmarkEnd w:id="47"/>
    </w:p>
    <w:tbl>
      <w:tblPr>
        <w:tblW w:w="8789" w:type="dxa"/>
        <w:tblLook w:val="04A0" w:firstRow="1" w:lastRow="0" w:firstColumn="1" w:lastColumn="0" w:noHBand="0" w:noVBand="1"/>
      </w:tblPr>
      <w:tblGrid>
        <w:gridCol w:w="5245"/>
        <w:gridCol w:w="709"/>
        <w:gridCol w:w="1275"/>
        <w:gridCol w:w="1560"/>
      </w:tblGrid>
      <w:tr w:rsidR="00290B01" w:rsidRPr="00290B01" w14:paraId="6114AD52" w14:textId="77777777" w:rsidTr="00290B01">
        <w:trPr>
          <w:trHeight w:val="300"/>
        </w:trPr>
        <w:tc>
          <w:tcPr>
            <w:tcW w:w="5245" w:type="dxa"/>
            <w:tcBorders>
              <w:top w:val="nil"/>
              <w:left w:val="nil"/>
              <w:bottom w:val="single" w:sz="8" w:space="0" w:color="auto"/>
              <w:right w:val="nil"/>
            </w:tcBorders>
            <w:shd w:val="clear" w:color="auto" w:fill="auto"/>
            <w:noWrap/>
            <w:vAlign w:val="center"/>
            <w:hideMark/>
          </w:tcPr>
          <w:p w14:paraId="45F5A903" w14:textId="77777777" w:rsidR="00290B01" w:rsidRPr="00290B01" w:rsidRDefault="00290B01" w:rsidP="00290B01">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7C61A915" w14:textId="77777777" w:rsidR="00290B01" w:rsidRPr="00290B01" w:rsidRDefault="00290B01" w:rsidP="00290B01">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49A09865" w14:textId="6A5ADB32" w:rsidR="00290B01" w:rsidRPr="00E45A79" w:rsidRDefault="00703807" w:rsidP="00290B01">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31.12.</w:t>
            </w:r>
            <w:r w:rsidR="00290B01" w:rsidRPr="00E45A79">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310327A5" w14:textId="7EA6C79D" w:rsidR="00290B01" w:rsidRPr="00E45A79" w:rsidRDefault="00703807" w:rsidP="00290B01">
            <w:pPr>
              <w:jc w:val="right"/>
              <w:rPr>
                <w:rFonts w:eastAsia="Times New Roman" w:cs="Times New Roman"/>
                <w:color w:val="000000"/>
                <w:sz w:val="18"/>
                <w:szCs w:val="18"/>
                <w:lang w:eastAsia="en-GB"/>
              </w:rPr>
            </w:pPr>
            <w:r>
              <w:rPr>
                <w:rFonts w:eastAsia="Times New Roman" w:cs="Times New Roman"/>
                <w:color w:val="000000"/>
                <w:sz w:val="18"/>
                <w:szCs w:val="18"/>
                <w:lang w:eastAsia="en-GB"/>
              </w:rPr>
              <w:t>31.12.</w:t>
            </w:r>
            <w:r w:rsidR="00290B01" w:rsidRPr="00E45A79">
              <w:rPr>
                <w:rFonts w:eastAsia="Times New Roman" w:cs="Times New Roman"/>
                <w:color w:val="000000"/>
                <w:sz w:val="18"/>
                <w:szCs w:val="18"/>
                <w:lang w:eastAsia="en-GB"/>
              </w:rPr>
              <w:t>2018</w:t>
            </w:r>
          </w:p>
        </w:tc>
      </w:tr>
      <w:tr w:rsidR="00290B01" w:rsidRPr="00290B01" w14:paraId="08888EF7" w14:textId="77777777" w:rsidTr="00290B01">
        <w:trPr>
          <w:trHeight w:val="288"/>
        </w:trPr>
        <w:tc>
          <w:tcPr>
            <w:tcW w:w="5245" w:type="dxa"/>
            <w:tcBorders>
              <w:top w:val="nil"/>
              <w:left w:val="nil"/>
              <w:bottom w:val="nil"/>
              <w:right w:val="nil"/>
            </w:tcBorders>
            <w:shd w:val="clear" w:color="auto" w:fill="auto"/>
            <w:noWrap/>
            <w:vAlign w:val="center"/>
            <w:hideMark/>
          </w:tcPr>
          <w:p w14:paraId="714A0E75" w14:textId="77777777" w:rsidR="00290B01" w:rsidRPr="00290B01" w:rsidRDefault="00290B01" w:rsidP="00290B01">
            <w:pPr>
              <w:rPr>
                <w:rFonts w:eastAsia="Times New Roman" w:cs="Times New Roman"/>
                <w:color w:val="000000"/>
                <w:sz w:val="18"/>
                <w:szCs w:val="18"/>
                <w:lang w:eastAsia="en-GB"/>
              </w:rPr>
            </w:pPr>
            <w:r w:rsidRPr="00290B01">
              <w:rPr>
                <w:rFonts w:eastAsia="Times New Roman" w:cs="Times New Roman"/>
                <w:color w:val="000000"/>
                <w:sz w:val="18"/>
                <w:szCs w:val="18"/>
                <w:lang w:eastAsia="en-GB"/>
              </w:rPr>
              <w:t>Bank accounts, foreign currency (Note 30)</w:t>
            </w:r>
          </w:p>
        </w:tc>
        <w:tc>
          <w:tcPr>
            <w:tcW w:w="709" w:type="dxa"/>
            <w:tcBorders>
              <w:top w:val="nil"/>
              <w:left w:val="nil"/>
              <w:bottom w:val="nil"/>
              <w:right w:val="nil"/>
            </w:tcBorders>
            <w:shd w:val="clear" w:color="auto" w:fill="auto"/>
            <w:noWrap/>
            <w:vAlign w:val="bottom"/>
            <w:hideMark/>
          </w:tcPr>
          <w:p w14:paraId="41199F61" w14:textId="77777777" w:rsidR="00290B01" w:rsidRPr="00290B01" w:rsidRDefault="00290B01" w:rsidP="00290B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0F043644" w14:textId="7AB719EE" w:rsidR="00290B01" w:rsidRPr="00E45A79" w:rsidRDefault="00F57670" w:rsidP="00FF7B09">
            <w:pPr>
              <w:jc w:val="right"/>
              <w:rPr>
                <w:rFonts w:eastAsia="Times New Roman" w:cs="Times New Roman"/>
                <w:b/>
                <w:bCs/>
                <w:sz w:val="18"/>
                <w:szCs w:val="18"/>
                <w:lang w:val="ru-RU" w:eastAsia="en-GB"/>
              </w:rPr>
            </w:pPr>
            <w:r w:rsidRPr="00E45A79">
              <w:rPr>
                <w:rFonts w:eastAsia="Times New Roman" w:cs="Times New Roman"/>
                <w:b/>
                <w:bCs/>
                <w:sz w:val="18"/>
                <w:szCs w:val="18"/>
                <w:lang w:val="ru-RU" w:eastAsia="en-GB"/>
              </w:rPr>
              <w:t>6,871,977</w:t>
            </w:r>
          </w:p>
        </w:tc>
        <w:tc>
          <w:tcPr>
            <w:tcW w:w="1560" w:type="dxa"/>
            <w:tcBorders>
              <w:top w:val="nil"/>
              <w:left w:val="nil"/>
              <w:bottom w:val="nil"/>
              <w:right w:val="nil"/>
            </w:tcBorders>
            <w:shd w:val="clear" w:color="auto" w:fill="auto"/>
            <w:noWrap/>
            <w:vAlign w:val="center"/>
            <w:hideMark/>
          </w:tcPr>
          <w:p w14:paraId="2FA28301" w14:textId="77777777" w:rsidR="00290B01" w:rsidRPr="00E45A79" w:rsidRDefault="00290B01" w:rsidP="00290B01">
            <w:pPr>
              <w:jc w:val="right"/>
              <w:rPr>
                <w:rFonts w:eastAsia="Times New Roman" w:cs="Times New Roman"/>
                <w:color w:val="000000"/>
                <w:sz w:val="18"/>
                <w:szCs w:val="18"/>
                <w:lang w:eastAsia="en-GB"/>
              </w:rPr>
            </w:pPr>
            <w:r w:rsidRPr="00E45A79">
              <w:rPr>
                <w:rFonts w:eastAsia="Times New Roman" w:cs="Times New Roman"/>
                <w:color w:val="000000"/>
                <w:sz w:val="18"/>
                <w:szCs w:val="18"/>
                <w:lang w:eastAsia="en-GB"/>
              </w:rPr>
              <w:t>6,790,400</w:t>
            </w:r>
          </w:p>
        </w:tc>
      </w:tr>
      <w:tr w:rsidR="00290B01" w:rsidRPr="00290B01" w14:paraId="5E87CA53" w14:textId="77777777" w:rsidTr="00290B01">
        <w:trPr>
          <w:trHeight w:val="288"/>
        </w:trPr>
        <w:tc>
          <w:tcPr>
            <w:tcW w:w="5245" w:type="dxa"/>
            <w:tcBorders>
              <w:top w:val="nil"/>
              <w:left w:val="nil"/>
              <w:bottom w:val="nil"/>
              <w:right w:val="nil"/>
            </w:tcBorders>
            <w:shd w:val="clear" w:color="auto" w:fill="auto"/>
            <w:noWrap/>
            <w:vAlign w:val="center"/>
            <w:hideMark/>
          </w:tcPr>
          <w:p w14:paraId="79E145C9" w14:textId="77777777" w:rsidR="00290B01" w:rsidRPr="00290B01" w:rsidRDefault="00290B01" w:rsidP="00290B01">
            <w:pPr>
              <w:rPr>
                <w:rFonts w:eastAsia="Times New Roman" w:cs="Times New Roman"/>
                <w:color w:val="000000"/>
                <w:sz w:val="18"/>
                <w:szCs w:val="18"/>
                <w:lang w:eastAsia="en-GB"/>
              </w:rPr>
            </w:pPr>
            <w:r w:rsidRPr="00290B01">
              <w:rPr>
                <w:rFonts w:eastAsia="Times New Roman" w:cs="Times New Roman"/>
                <w:color w:val="000000"/>
                <w:sz w:val="18"/>
                <w:szCs w:val="18"/>
                <w:lang w:eastAsia="en-GB"/>
              </w:rPr>
              <w:t>Bank account, AZN</w:t>
            </w:r>
          </w:p>
        </w:tc>
        <w:tc>
          <w:tcPr>
            <w:tcW w:w="709" w:type="dxa"/>
            <w:tcBorders>
              <w:top w:val="nil"/>
              <w:left w:val="nil"/>
              <w:bottom w:val="nil"/>
              <w:right w:val="nil"/>
            </w:tcBorders>
            <w:shd w:val="clear" w:color="auto" w:fill="auto"/>
            <w:noWrap/>
            <w:vAlign w:val="center"/>
            <w:hideMark/>
          </w:tcPr>
          <w:p w14:paraId="523F28BA" w14:textId="77777777" w:rsidR="00290B01" w:rsidRPr="00290B01" w:rsidRDefault="00290B01" w:rsidP="00290B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5C0A5963" w14:textId="4FD5C2AD" w:rsidR="00290B01" w:rsidRPr="00E45A79" w:rsidRDefault="00F57670" w:rsidP="00FF7B09">
            <w:pPr>
              <w:jc w:val="right"/>
              <w:rPr>
                <w:rFonts w:eastAsia="Times New Roman" w:cs="Times New Roman"/>
                <w:b/>
                <w:bCs/>
                <w:sz w:val="18"/>
                <w:szCs w:val="18"/>
                <w:lang w:val="ru-RU" w:eastAsia="en-GB"/>
              </w:rPr>
            </w:pPr>
            <w:r w:rsidRPr="00E45A79">
              <w:rPr>
                <w:rFonts w:eastAsia="Times New Roman" w:cs="Times New Roman"/>
                <w:b/>
                <w:bCs/>
                <w:sz w:val="18"/>
                <w:szCs w:val="18"/>
                <w:lang w:val="ru-RU" w:eastAsia="en-GB"/>
              </w:rPr>
              <w:t>2,738,281</w:t>
            </w:r>
          </w:p>
        </w:tc>
        <w:tc>
          <w:tcPr>
            <w:tcW w:w="1560" w:type="dxa"/>
            <w:tcBorders>
              <w:top w:val="nil"/>
              <w:left w:val="nil"/>
              <w:bottom w:val="nil"/>
              <w:right w:val="nil"/>
            </w:tcBorders>
            <w:shd w:val="clear" w:color="auto" w:fill="auto"/>
            <w:noWrap/>
            <w:vAlign w:val="center"/>
            <w:hideMark/>
          </w:tcPr>
          <w:p w14:paraId="1414016F" w14:textId="77777777" w:rsidR="00290B01" w:rsidRPr="00E45A79" w:rsidRDefault="00290B01" w:rsidP="00290B01">
            <w:pPr>
              <w:jc w:val="right"/>
              <w:rPr>
                <w:rFonts w:eastAsia="Times New Roman" w:cs="Times New Roman"/>
                <w:color w:val="000000"/>
                <w:sz w:val="18"/>
                <w:szCs w:val="18"/>
                <w:lang w:eastAsia="en-GB"/>
              </w:rPr>
            </w:pPr>
            <w:r w:rsidRPr="00E45A79">
              <w:rPr>
                <w:rFonts w:eastAsia="Times New Roman" w:cs="Times New Roman"/>
                <w:color w:val="000000"/>
                <w:sz w:val="18"/>
                <w:szCs w:val="18"/>
                <w:lang w:eastAsia="en-GB"/>
              </w:rPr>
              <w:t>189,512</w:t>
            </w:r>
          </w:p>
        </w:tc>
      </w:tr>
      <w:tr w:rsidR="00290B01" w:rsidRPr="00290B01" w14:paraId="6A0F1969" w14:textId="77777777" w:rsidTr="00290B01">
        <w:trPr>
          <w:trHeight w:val="288"/>
        </w:trPr>
        <w:tc>
          <w:tcPr>
            <w:tcW w:w="5245" w:type="dxa"/>
            <w:tcBorders>
              <w:top w:val="nil"/>
              <w:left w:val="nil"/>
              <w:bottom w:val="nil"/>
              <w:right w:val="nil"/>
            </w:tcBorders>
            <w:shd w:val="clear" w:color="auto" w:fill="auto"/>
            <w:noWrap/>
            <w:vAlign w:val="center"/>
            <w:hideMark/>
          </w:tcPr>
          <w:p w14:paraId="1A69CB8A" w14:textId="77777777" w:rsidR="00290B01" w:rsidRPr="00290B01" w:rsidRDefault="00290B01" w:rsidP="00290B01">
            <w:pPr>
              <w:rPr>
                <w:rFonts w:eastAsia="Times New Roman" w:cs="Times New Roman"/>
                <w:color w:val="000000"/>
                <w:sz w:val="18"/>
                <w:szCs w:val="18"/>
                <w:lang w:eastAsia="en-GB"/>
              </w:rPr>
            </w:pPr>
            <w:r w:rsidRPr="00290B01">
              <w:rPr>
                <w:rFonts w:eastAsia="Times New Roman" w:cs="Times New Roman"/>
                <w:color w:val="000000"/>
                <w:sz w:val="18"/>
                <w:szCs w:val="18"/>
                <w:lang w:eastAsia="en-GB"/>
              </w:rPr>
              <w:t>Cash on hand</w:t>
            </w:r>
          </w:p>
        </w:tc>
        <w:tc>
          <w:tcPr>
            <w:tcW w:w="709" w:type="dxa"/>
            <w:tcBorders>
              <w:top w:val="nil"/>
              <w:left w:val="nil"/>
              <w:bottom w:val="nil"/>
              <w:right w:val="nil"/>
            </w:tcBorders>
            <w:shd w:val="clear" w:color="auto" w:fill="auto"/>
            <w:noWrap/>
            <w:vAlign w:val="bottom"/>
            <w:hideMark/>
          </w:tcPr>
          <w:p w14:paraId="67B22A7F" w14:textId="77777777" w:rsidR="00290B01" w:rsidRPr="00290B01" w:rsidRDefault="00290B01" w:rsidP="00290B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39154146" w14:textId="6B33D303" w:rsidR="00290B01" w:rsidRPr="00E45A79" w:rsidRDefault="00F57670" w:rsidP="00FF7B09">
            <w:pPr>
              <w:jc w:val="right"/>
              <w:rPr>
                <w:rFonts w:eastAsia="Times New Roman" w:cs="Times New Roman"/>
                <w:b/>
                <w:bCs/>
                <w:sz w:val="18"/>
                <w:szCs w:val="18"/>
                <w:lang w:val="ru-RU" w:eastAsia="en-GB"/>
              </w:rPr>
            </w:pPr>
            <w:r w:rsidRPr="00E45A79">
              <w:rPr>
                <w:rFonts w:eastAsia="Times New Roman" w:cs="Times New Roman"/>
                <w:b/>
                <w:bCs/>
                <w:sz w:val="18"/>
                <w:szCs w:val="18"/>
                <w:lang w:val="ru-RU" w:eastAsia="en-GB"/>
              </w:rPr>
              <w:t>3,033</w:t>
            </w:r>
          </w:p>
        </w:tc>
        <w:tc>
          <w:tcPr>
            <w:tcW w:w="1560" w:type="dxa"/>
            <w:tcBorders>
              <w:top w:val="nil"/>
              <w:left w:val="nil"/>
              <w:bottom w:val="nil"/>
              <w:right w:val="nil"/>
            </w:tcBorders>
            <w:shd w:val="clear" w:color="auto" w:fill="auto"/>
            <w:noWrap/>
            <w:vAlign w:val="center"/>
            <w:hideMark/>
          </w:tcPr>
          <w:p w14:paraId="7F75ECEC" w14:textId="77777777" w:rsidR="00290B01" w:rsidRPr="00E45A79" w:rsidRDefault="00290B01" w:rsidP="00290B01">
            <w:pPr>
              <w:jc w:val="right"/>
              <w:rPr>
                <w:rFonts w:eastAsia="Times New Roman" w:cs="Times New Roman"/>
                <w:color w:val="000000"/>
                <w:sz w:val="18"/>
                <w:szCs w:val="18"/>
                <w:lang w:eastAsia="en-GB"/>
              </w:rPr>
            </w:pPr>
            <w:r w:rsidRPr="00E45A79">
              <w:rPr>
                <w:rFonts w:eastAsia="Times New Roman" w:cs="Times New Roman"/>
                <w:color w:val="000000"/>
                <w:sz w:val="18"/>
                <w:szCs w:val="18"/>
                <w:lang w:eastAsia="en-GB"/>
              </w:rPr>
              <w:t>739</w:t>
            </w:r>
          </w:p>
        </w:tc>
      </w:tr>
      <w:tr w:rsidR="00290B01" w:rsidRPr="00290B01" w14:paraId="3AB763D9" w14:textId="77777777" w:rsidTr="00FF7B09">
        <w:trPr>
          <w:trHeight w:val="325"/>
        </w:trPr>
        <w:tc>
          <w:tcPr>
            <w:tcW w:w="5245" w:type="dxa"/>
            <w:tcBorders>
              <w:top w:val="nil"/>
              <w:left w:val="nil"/>
              <w:bottom w:val="nil"/>
              <w:right w:val="nil"/>
            </w:tcBorders>
            <w:shd w:val="clear" w:color="auto" w:fill="auto"/>
            <w:vAlign w:val="center"/>
            <w:hideMark/>
          </w:tcPr>
          <w:p w14:paraId="604EBEC3" w14:textId="77777777" w:rsidR="00290B01" w:rsidRPr="00290B01" w:rsidRDefault="00290B01" w:rsidP="00F5144A">
            <w:pPr>
              <w:rPr>
                <w:rFonts w:eastAsia="Times New Roman" w:cs="Times New Roman"/>
                <w:color w:val="000000"/>
                <w:sz w:val="18"/>
                <w:szCs w:val="18"/>
                <w:lang w:eastAsia="en-GB"/>
              </w:rPr>
            </w:pPr>
            <w:r w:rsidRPr="00290B01">
              <w:rPr>
                <w:rFonts w:eastAsia="Times New Roman" w:cs="Times New Roman"/>
                <w:color w:val="000000"/>
                <w:sz w:val="18"/>
                <w:szCs w:val="18"/>
                <w:lang w:eastAsia="en-GB"/>
              </w:rPr>
              <w:t>Allowance for impairment of bank accounts, foreign currency</w:t>
            </w:r>
          </w:p>
        </w:tc>
        <w:tc>
          <w:tcPr>
            <w:tcW w:w="709" w:type="dxa"/>
            <w:tcBorders>
              <w:top w:val="nil"/>
              <w:left w:val="nil"/>
              <w:bottom w:val="nil"/>
              <w:right w:val="nil"/>
            </w:tcBorders>
            <w:shd w:val="clear" w:color="auto" w:fill="auto"/>
            <w:noWrap/>
            <w:vAlign w:val="center"/>
            <w:hideMark/>
          </w:tcPr>
          <w:p w14:paraId="47F93514" w14:textId="77777777" w:rsidR="00290B01" w:rsidRPr="00290B01" w:rsidRDefault="00290B01" w:rsidP="00290B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3E760BDE" w14:textId="2F428F02" w:rsidR="00290B01" w:rsidRPr="00E45A79" w:rsidRDefault="00F57670" w:rsidP="00FF7B09">
            <w:pPr>
              <w:jc w:val="right"/>
              <w:rPr>
                <w:rFonts w:eastAsia="Times New Roman" w:cs="Times New Roman"/>
                <w:b/>
                <w:bCs/>
                <w:sz w:val="18"/>
                <w:szCs w:val="18"/>
                <w:lang w:val="ru-RU" w:eastAsia="en-GB"/>
              </w:rPr>
            </w:pPr>
            <w:r w:rsidRPr="00E45A79">
              <w:rPr>
                <w:rFonts w:eastAsia="Times New Roman" w:cs="Times New Roman"/>
                <w:b/>
                <w:bCs/>
                <w:sz w:val="18"/>
                <w:szCs w:val="18"/>
                <w:lang w:val="ru-RU" w:eastAsia="en-GB"/>
              </w:rPr>
              <w:t>(422,788)</w:t>
            </w:r>
          </w:p>
        </w:tc>
        <w:tc>
          <w:tcPr>
            <w:tcW w:w="1560" w:type="dxa"/>
            <w:tcBorders>
              <w:top w:val="nil"/>
              <w:left w:val="nil"/>
              <w:bottom w:val="nil"/>
              <w:right w:val="nil"/>
            </w:tcBorders>
            <w:shd w:val="clear" w:color="auto" w:fill="auto"/>
            <w:noWrap/>
            <w:vAlign w:val="center"/>
            <w:hideMark/>
          </w:tcPr>
          <w:p w14:paraId="51B2280D" w14:textId="6CE257C7" w:rsidR="00290B01" w:rsidRPr="00E45A79" w:rsidRDefault="00290B01" w:rsidP="00290B01">
            <w:pPr>
              <w:jc w:val="right"/>
              <w:rPr>
                <w:rFonts w:eastAsia="Times New Roman" w:cs="Times New Roman"/>
                <w:color w:val="000000"/>
                <w:sz w:val="18"/>
                <w:szCs w:val="18"/>
                <w:lang w:eastAsia="en-GB"/>
              </w:rPr>
            </w:pPr>
            <w:r w:rsidRPr="00E45A79">
              <w:rPr>
                <w:rFonts w:eastAsia="Times New Roman" w:cs="Times New Roman"/>
                <w:color w:val="000000"/>
                <w:sz w:val="18"/>
                <w:szCs w:val="18"/>
                <w:lang w:eastAsia="en-GB"/>
              </w:rPr>
              <w:t>(417,073)</w:t>
            </w:r>
          </w:p>
        </w:tc>
      </w:tr>
      <w:tr w:rsidR="00290B01" w:rsidRPr="00290B01" w14:paraId="168C4F3C" w14:textId="77777777" w:rsidTr="00290B01">
        <w:trPr>
          <w:trHeight w:val="300"/>
        </w:trPr>
        <w:tc>
          <w:tcPr>
            <w:tcW w:w="5245" w:type="dxa"/>
            <w:tcBorders>
              <w:top w:val="single" w:sz="8" w:space="0" w:color="auto"/>
              <w:left w:val="nil"/>
              <w:bottom w:val="double" w:sz="6" w:space="0" w:color="auto"/>
              <w:right w:val="nil"/>
            </w:tcBorders>
            <w:shd w:val="clear" w:color="auto" w:fill="auto"/>
            <w:noWrap/>
            <w:vAlign w:val="center"/>
            <w:hideMark/>
          </w:tcPr>
          <w:p w14:paraId="287E4F9B" w14:textId="3BD0D88E" w:rsidR="00290B01" w:rsidRPr="00290B01" w:rsidRDefault="00290B01" w:rsidP="00290B01">
            <w:pP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xml:space="preserve">Total cash and </w:t>
            </w:r>
            <w:r w:rsidR="000C5941">
              <w:rPr>
                <w:rFonts w:eastAsia="Times New Roman" w:cs="Times New Roman"/>
                <w:b/>
                <w:bCs/>
                <w:color w:val="000000"/>
                <w:sz w:val="18"/>
                <w:szCs w:val="18"/>
                <w:lang w:eastAsia="en-GB"/>
              </w:rPr>
              <w:t>bank accounts</w:t>
            </w:r>
          </w:p>
        </w:tc>
        <w:tc>
          <w:tcPr>
            <w:tcW w:w="709" w:type="dxa"/>
            <w:tcBorders>
              <w:top w:val="single" w:sz="8" w:space="0" w:color="auto"/>
              <w:left w:val="nil"/>
              <w:bottom w:val="double" w:sz="6" w:space="0" w:color="auto"/>
              <w:right w:val="nil"/>
            </w:tcBorders>
            <w:shd w:val="clear" w:color="auto" w:fill="auto"/>
            <w:noWrap/>
            <w:vAlign w:val="center"/>
            <w:hideMark/>
          </w:tcPr>
          <w:p w14:paraId="10C0A3A3" w14:textId="77777777" w:rsidR="00290B01" w:rsidRPr="00290B01" w:rsidRDefault="00290B01" w:rsidP="00290B01">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center"/>
            <w:hideMark/>
          </w:tcPr>
          <w:p w14:paraId="49524BC7" w14:textId="326E2E2D" w:rsidR="00290B01" w:rsidRPr="00E45A79" w:rsidRDefault="00290B01" w:rsidP="00FF7B09">
            <w:pPr>
              <w:jc w:val="right"/>
              <w:rPr>
                <w:rFonts w:eastAsia="Times New Roman" w:cs="Times New Roman"/>
                <w:b/>
                <w:bCs/>
                <w:color w:val="000000"/>
                <w:sz w:val="18"/>
                <w:szCs w:val="18"/>
                <w:lang w:val="ru-RU" w:eastAsia="en-GB"/>
              </w:rPr>
            </w:pPr>
            <w:r w:rsidRPr="00E45A79">
              <w:rPr>
                <w:rFonts w:eastAsia="Times New Roman" w:cs="Times New Roman"/>
                <w:b/>
                <w:bCs/>
                <w:color w:val="000000"/>
                <w:sz w:val="18"/>
                <w:szCs w:val="18"/>
                <w:lang w:eastAsia="en-GB"/>
              </w:rPr>
              <w:t> </w:t>
            </w:r>
            <w:r w:rsidR="00F57670" w:rsidRPr="00E45A79">
              <w:rPr>
                <w:rFonts w:eastAsia="Times New Roman" w:cs="Times New Roman"/>
                <w:b/>
                <w:bCs/>
                <w:color w:val="000000"/>
                <w:sz w:val="18"/>
                <w:szCs w:val="18"/>
                <w:lang w:val="ru-RU" w:eastAsia="en-GB"/>
              </w:rPr>
              <w:t>9,190,503</w:t>
            </w:r>
          </w:p>
        </w:tc>
        <w:tc>
          <w:tcPr>
            <w:tcW w:w="1560" w:type="dxa"/>
            <w:tcBorders>
              <w:top w:val="single" w:sz="8" w:space="0" w:color="auto"/>
              <w:left w:val="nil"/>
              <w:bottom w:val="double" w:sz="6" w:space="0" w:color="auto"/>
              <w:right w:val="nil"/>
            </w:tcBorders>
            <w:shd w:val="clear" w:color="auto" w:fill="auto"/>
            <w:noWrap/>
            <w:vAlign w:val="center"/>
            <w:hideMark/>
          </w:tcPr>
          <w:p w14:paraId="7531E788" w14:textId="77777777" w:rsidR="00290B01" w:rsidRPr="00E45A79" w:rsidRDefault="00290B01" w:rsidP="00290B01">
            <w:pPr>
              <w:jc w:val="right"/>
              <w:rPr>
                <w:rFonts w:eastAsia="Times New Roman" w:cs="Times New Roman"/>
                <w:color w:val="000000"/>
                <w:sz w:val="18"/>
                <w:szCs w:val="18"/>
                <w:lang w:eastAsia="en-GB"/>
              </w:rPr>
            </w:pPr>
            <w:r w:rsidRPr="00E45A79">
              <w:rPr>
                <w:rFonts w:eastAsia="Times New Roman" w:cs="Times New Roman"/>
                <w:color w:val="000000"/>
                <w:sz w:val="18"/>
                <w:szCs w:val="18"/>
                <w:lang w:eastAsia="en-GB"/>
              </w:rPr>
              <w:t>6,563,578</w:t>
            </w:r>
          </w:p>
        </w:tc>
      </w:tr>
    </w:tbl>
    <w:p w14:paraId="0EC5E636" w14:textId="3F8D5B29" w:rsidR="00F5144A" w:rsidRPr="00F5144A" w:rsidRDefault="004120E2" w:rsidP="00F5144A">
      <w:pPr>
        <w:spacing w:before="120" w:after="120"/>
        <w:jc w:val="both"/>
        <w:rPr>
          <w:rFonts w:eastAsia="Times New Roman" w:cs="Segoe UI"/>
          <w:sz w:val="18"/>
          <w:szCs w:val="18"/>
          <w:lang w:eastAsia="en-GB"/>
        </w:rPr>
      </w:pPr>
      <w:r w:rsidRPr="00F57670">
        <w:rPr>
          <w:rFonts w:cs="Times New Roman"/>
          <w:sz w:val="18"/>
          <w:szCs w:val="18"/>
        </w:rPr>
        <w:t xml:space="preserve">As at the end of 2019 allowance for impairment of bank account comprise of AZN 5,715. </w:t>
      </w:r>
      <w:r w:rsidR="00F5144A" w:rsidRPr="00F57670">
        <w:rPr>
          <w:rFonts w:cs="Times New Roman"/>
          <w:sz w:val="18"/>
          <w:szCs w:val="18"/>
        </w:rPr>
        <w:t>The amount represents accounts in “</w:t>
      </w:r>
      <w:proofErr w:type="spellStart"/>
      <w:r w:rsidR="00F5144A" w:rsidRPr="00F57670">
        <w:rPr>
          <w:rFonts w:eastAsia="Times New Roman" w:cs="Segoe UI"/>
          <w:sz w:val="18"/>
          <w:szCs w:val="18"/>
          <w:lang w:eastAsia="en-GB"/>
        </w:rPr>
        <w:t>Azerqazbank</w:t>
      </w:r>
      <w:proofErr w:type="spellEnd"/>
      <w:r w:rsidR="00F5144A" w:rsidRPr="00F57670">
        <w:rPr>
          <w:rFonts w:eastAsia="Times New Roman" w:cs="Segoe UI"/>
          <w:sz w:val="18"/>
          <w:szCs w:val="18"/>
          <w:lang w:eastAsia="en-GB"/>
        </w:rPr>
        <w:t xml:space="preserve">” OJSC, which license was cancelled by the decision of the </w:t>
      </w:r>
      <w:r w:rsidR="00F5144A" w:rsidRPr="00F57670">
        <w:rPr>
          <w:rFonts w:cs="Times New Roman"/>
          <w:sz w:val="18"/>
          <w:szCs w:val="18"/>
        </w:rPr>
        <w:t>Board of the Central Bank of Azerbaijan (CBA) dated 12 May 2020.</w:t>
      </w:r>
      <w:r w:rsidR="00F5144A">
        <w:rPr>
          <w:rFonts w:cs="Times New Roman"/>
          <w:sz w:val="18"/>
          <w:szCs w:val="18"/>
        </w:rPr>
        <w:t xml:space="preserve"> </w:t>
      </w:r>
    </w:p>
    <w:p w14:paraId="1C982F6A" w14:textId="3518A4FF" w:rsidR="00FB55AD" w:rsidRDefault="00290B01" w:rsidP="006B7940">
      <w:pPr>
        <w:spacing w:before="120" w:after="120"/>
        <w:jc w:val="both"/>
        <w:rPr>
          <w:rFonts w:cs="Times New Roman"/>
          <w:sz w:val="18"/>
          <w:szCs w:val="18"/>
        </w:rPr>
      </w:pPr>
      <w:r>
        <w:rPr>
          <w:rFonts w:cs="Times New Roman"/>
          <w:sz w:val="18"/>
          <w:szCs w:val="18"/>
        </w:rPr>
        <w:t xml:space="preserve">As at the end of 2018 </w:t>
      </w:r>
      <w:r w:rsidR="006B7940">
        <w:rPr>
          <w:rFonts w:cs="Times New Roman"/>
          <w:sz w:val="18"/>
          <w:szCs w:val="18"/>
        </w:rPr>
        <w:t>allowance for impairment of bank account comprised of AZN 417,073. The amount represents deposits in foreign currency placed in banks that bankrupted during 2016. Deposit agreement matured as at the end of 2017 and amount was classified as bank accounts.</w:t>
      </w:r>
    </w:p>
    <w:p w14:paraId="2BBDADED" w14:textId="7F36FFD9" w:rsidR="006B7940" w:rsidRDefault="006B7940" w:rsidP="006B7940">
      <w:pPr>
        <w:spacing w:before="120" w:after="120"/>
        <w:jc w:val="both"/>
        <w:rPr>
          <w:rFonts w:cs="Times New Roman"/>
          <w:sz w:val="18"/>
          <w:szCs w:val="18"/>
          <w:lang w:val="en-US"/>
        </w:rPr>
      </w:pPr>
      <w:r>
        <w:rPr>
          <w:rFonts w:cs="Times New Roman"/>
          <w:sz w:val="18"/>
          <w:szCs w:val="18"/>
        </w:rPr>
        <w:t xml:space="preserve">Bank accounts balances located in a related party, </w:t>
      </w:r>
      <w:r>
        <w:rPr>
          <w:rFonts w:cs="Times New Roman"/>
          <w:sz w:val="18"/>
          <w:szCs w:val="18"/>
          <w:lang w:val="en-US"/>
        </w:rPr>
        <w:t>“AG Bank” OJSC, as per 31 December 201</w:t>
      </w:r>
      <w:r w:rsidR="004152B4">
        <w:rPr>
          <w:rFonts w:cs="Times New Roman"/>
          <w:sz w:val="18"/>
          <w:szCs w:val="18"/>
          <w:lang w:val="en-US"/>
        </w:rPr>
        <w:t>9</w:t>
      </w:r>
      <w:r>
        <w:rPr>
          <w:rFonts w:cs="Times New Roman"/>
          <w:sz w:val="18"/>
          <w:szCs w:val="18"/>
          <w:lang w:val="en-US"/>
        </w:rPr>
        <w:t xml:space="preserve"> were AZN </w:t>
      </w:r>
      <w:r w:rsidR="004152B4">
        <w:rPr>
          <w:rFonts w:cs="Times New Roman"/>
          <w:sz w:val="18"/>
          <w:szCs w:val="18"/>
          <w:lang w:val="en-US"/>
        </w:rPr>
        <w:t>5,715</w:t>
      </w:r>
      <w:r>
        <w:rPr>
          <w:rFonts w:cs="Times New Roman"/>
          <w:sz w:val="18"/>
          <w:szCs w:val="18"/>
          <w:lang w:val="en-US"/>
        </w:rPr>
        <w:t xml:space="preserve"> (2018: AZN 4,654).</w:t>
      </w:r>
    </w:p>
    <w:p w14:paraId="409B0EE9" w14:textId="7A300A86" w:rsidR="000B7759" w:rsidRPr="006B7940" w:rsidRDefault="00096372" w:rsidP="006B7940">
      <w:pPr>
        <w:pStyle w:val="ListParagraph"/>
        <w:numPr>
          <w:ilvl w:val="0"/>
          <w:numId w:val="1"/>
        </w:numPr>
        <w:spacing w:before="240" w:after="120"/>
        <w:ind w:left="357" w:hanging="357"/>
        <w:contextualSpacing w:val="0"/>
        <w:outlineLvl w:val="0"/>
        <w:rPr>
          <w:b/>
          <w:bCs/>
          <w:sz w:val="18"/>
          <w:szCs w:val="18"/>
          <w:lang w:val="en-US"/>
        </w:rPr>
      </w:pPr>
      <w:bookmarkStart w:id="48" w:name="_Toc57894892"/>
      <w:r>
        <w:rPr>
          <w:b/>
          <w:bCs/>
          <w:sz w:val="18"/>
          <w:szCs w:val="18"/>
          <w:lang w:val="en-US"/>
        </w:rPr>
        <w:lastRenderedPageBreak/>
        <w:t>Deposits with banks</w:t>
      </w:r>
      <w:bookmarkEnd w:id="48"/>
    </w:p>
    <w:p w14:paraId="4AAA6A7D" w14:textId="1185B23C" w:rsidR="00096372" w:rsidRPr="00E45A79" w:rsidRDefault="00096372" w:rsidP="00744D85">
      <w:pPr>
        <w:rPr>
          <w:rFonts w:cs="Times New Roman"/>
          <w:sz w:val="18"/>
          <w:szCs w:val="18"/>
        </w:rPr>
      </w:pPr>
      <w:r w:rsidRPr="00E45A79">
        <w:rPr>
          <w:rFonts w:cs="Times New Roman"/>
          <w:sz w:val="18"/>
          <w:szCs w:val="18"/>
        </w:rPr>
        <w:t xml:space="preserve">Deposits with banks represent the Company’s main investing tool. All securities are placed in </w:t>
      </w:r>
      <w:proofErr w:type="gramStart"/>
      <w:r w:rsidRPr="00E45A79">
        <w:rPr>
          <w:rFonts w:cs="Times New Roman"/>
          <w:sz w:val="18"/>
          <w:szCs w:val="18"/>
        </w:rPr>
        <w:t>local  banks</w:t>
      </w:r>
      <w:proofErr w:type="gramEnd"/>
      <w:r w:rsidRPr="00E45A79">
        <w:rPr>
          <w:rFonts w:cs="Times New Roman"/>
          <w:sz w:val="18"/>
          <w:szCs w:val="18"/>
        </w:rPr>
        <w:t>.</w:t>
      </w:r>
    </w:p>
    <w:tbl>
      <w:tblPr>
        <w:tblW w:w="8789" w:type="dxa"/>
        <w:tblLook w:val="04A0" w:firstRow="1" w:lastRow="0" w:firstColumn="1" w:lastColumn="0" w:noHBand="0" w:noVBand="1"/>
      </w:tblPr>
      <w:tblGrid>
        <w:gridCol w:w="5245"/>
        <w:gridCol w:w="709"/>
        <w:gridCol w:w="1275"/>
        <w:gridCol w:w="1560"/>
      </w:tblGrid>
      <w:tr w:rsidR="00077BA6" w:rsidRPr="00290B01" w14:paraId="786FCE22" w14:textId="77777777" w:rsidTr="004120E2">
        <w:trPr>
          <w:trHeight w:val="305"/>
        </w:trPr>
        <w:tc>
          <w:tcPr>
            <w:tcW w:w="5245" w:type="dxa"/>
            <w:tcBorders>
              <w:top w:val="nil"/>
              <w:left w:val="nil"/>
              <w:bottom w:val="single" w:sz="8" w:space="0" w:color="auto"/>
              <w:right w:val="nil"/>
            </w:tcBorders>
            <w:shd w:val="clear" w:color="auto" w:fill="auto"/>
            <w:noWrap/>
            <w:vAlign w:val="center"/>
            <w:hideMark/>
          </w:tcPr>
          <w:p w14:paraId="5D27886E" w14:textId="77777777" w:rsidR="00077BA6" w:rsidRPr="00290B01" w:rsidRDefault="00077BA6" w:rsidP="000B68BF">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50A9D195" w14:textId="77777777" w:rsidR="00077BA6" w:rsidRPr="00290B01" w:rsidRDefault="00077BA6" w:rsidP="000B68BF">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1DDA1101" w14:textId="7E6BD407" w:rsidR="00077BA6" w:rsidRPr="00E45A79" w:rsidRDefault="00703807" w:rsidP="000B68BF">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31.12.</w:t>
            </w:r>
            <w:r w:rsidR="00077BA6" w:rsidRPr="00E45A79">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51CB1EF7" w14:textId="7E3F9F42" w:rsidR="00077BA6" w:rsidRPr="00E45A79" w:rsidRDefault="00703807" w:rsidP="000B68BF">
            <w:pPr>
              <w:jc w:val="right"/>
              <w:rPr>
                <w:rFonts w:eastAsia="Times New Roman" w:cs="Times New Roman"/>
                <w:color w:val="000000"/>
                <w:sz w:val="18"/>
                <w:szCs w:val="18"/>
                <w:lang w:eastAsia="en-GB"/>
              </w:rPr>
            </w:pPr>
            <w:r>
              <w:rPr>
                <w:rFonts w:eastAsia="Times New Roman" w:cs="Times New Roman"/>
                <w:color w:val="000000"/>
                <w:sz w:val="18"/>
                <w:szCs w:val="18"/>
                <w:lang w:eastAsia="en-GB"/>
              </w:rPr>
              <w:t>31.12.</w:t>
            </w:r>
            <w:r w:rsidR="00077BA6" w:rsidRPr="00E45A79">
              <w:rPr>
                <w:rFonts w:eastAsia="Times New Roman" w:cs="Times New Roman"/>
                <w:color w:val="000000"/>
                <w:sz w:val="18"/>
                <w:szCs w:val="18"/>
                <w:lang w:eastAsia="en-GB"/>
              </w:rPr>
              <w:t>2018</w:t>
            </w:r>
          </w:p>
        </w:tc>
      </w:tr>
      <w:tr w:rsidR="00077BA6" w:rsidRPr="00290B01" w14:paraId="4194CF12" w14:textId="77777777" w:rsidTr="004120E2">
        <w:trPr>
          <w:trHeight w:val="288"/>
        </w:trPr>
        <w:tc>
          <w:tcPr>
            <w:tcW w:w="5245" w:type="dxa"/>
            <w:tcBorders>
              <w:top w:val="nil"/>
              <w:left w:val="nil"/>
              <w:bottom w:val="nil"/>
              <w:right w:val="nil"/>
            </w:tcBorders>
            <w:shd w:val="clear" w:color="auto" w:fill="auto"/>
            <w:noWrap/>
            <w:vAlign w:val="center"/>
            <w:hideMark/>
          </w:tcPr>
          <w:p w14:paraId="7443D779" w14:textId="221C8B67" w:rsidR="00077BA6" w:rsidRPr="00290B01" w:rsidRDefault="00077BA6" w:rsidP="000B68BF">
            <w:pPr>
              <w:rPr>
                <w:rFonts w:eastAsia="Times New Roman" w:cs="Times New Roman"/>
                <w:color w:val="000000"/>
                <w:sz w:val="18"/>
                <w:szCs w:val="18"/>
                <w:lang w:eastAsia="en-GB"/>
              </w:rPr>
            </w:pPr>
            <w:r>
              <w:rPr>
                <w:rFonts w:eastAsia="Times New Roman" w:cs="Times New Roman"/>
                <w:color w:val="000000"/>
                <w:sz w:val="18"/>
                <w:szCs w:val="18"/>
                <w:lang w:eastAsia="en-GB"/>
              </w:rPr>
              <w:t>Deposits with banks</w:t>
            </w:r>
            <w:r w:rsidRPr="00290B01">
              <w:rPr>
                <w:rFonts w:eastAsia="Times New Roman" w:cs="Times New Roman"/>
                <w:color w:val="000000"/>
                <w:sz w:val="18"/>
                <w:szCs w:val="18"/>
                <w:lang w:eastAsia="en-GB"/>
              </w:rPr>
              <w:t>, foreign currency (Note 30)</w:t>
            </w:r>
          </w:p>
        </w:tc>
        <w:tc>
          <w:tcPr>
            <w:tcW w:w="709" w:type="dxa"/>
            <w:tcBorders>
              <w:top w:val="nil"/>
              <w:left w:val="nil"/>
              <w:bottom w:val="nil"/>
              <w:right w:val="nil"/>
            </w:tcBorders>
            <w:shd w:val="clear" w:color="auto" w:fill="auto"/>
            <w:noWrap/>
            <w:vAlign w:val="bottom"/>
            <w:hideMark/>
          </w:tcPr>
          <w:p w14:paraId="69AE372A" w14:textId="77777777" w:rsidR="00077BA6" w:rsidRPr="00290B01" w:rsidRDefault="00077BA6"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5B8729FC" w14:textId="2300A7D4" w:rsidR="00077BA6" w:rsidRPr="00E45A79" w:rsidRDefault="00E45A79" w:rsidP="004120E2">
            <w:pPr>
              <w:jc w:val="right"/>
              <w:rPr>
                <w:rFonts w:eastAsia="Times New Roman" w:cs="Times New Roman"/>
                <w:b/>
                <w:bCs/>
                <w:sz w:val="18"/>
                <w:szCs w:val="18"/>
                <w:lang w:val="ru-RU" w:eastAsia="en-GB"/>
              </w:rPr>
            </w:pPr>
            <w:r w:rsidRPr="00E45A79">
              <w:rPr>
                <w:rFonts w:eastAsia="Times New Roman" w:cs="Times New Roman"/>
                <w:b/>
                <w:bCs/>
                <w:sz w:val="18"/>
                <w:szCs w:val="18"/>
                <w:lang w:val="ru-RU" w:eastAsia="en-GB"/>
              </w:rPr>
              <w:t>2,000,000</w:t>
            </w:r>
          </w:p>
        </w:tc>
        <w:tc>
          <w:tcPr>
            <w:tcW w:w="1560" w:type="dxa"/>
            <w:tcBorders>
              <w:top w:val="nil"/>
              <w:left w:val="nil"/>
              <w:bottom w:val="nil"/>
              <w:right w:val="nil"/>
            </w:tcBorders>
            <w:shd w:val="clear" w:color="auto" w:fill="auto"/>
            <w:noWrap/>
            <w:vAlign w:val="center"/>
            <w:hideMark/>
          </w:tcPr>
          <w:p w14:paraId="6B629FAE" w14:textId="6AE021D7" w:rsidR="00077BA6" w:rsidRPr="00E45A79" w:rsidRDefault="005720BF" w:rsidP="000B68BF">
            <w:pPr>
              <w:jc w:val="right"/>
              <w:rPr>
                <w:rFonts w:eastAsia="Times New Roman" w:cs="Times New Roman"/>
                <w:color w:val="000000"/>
                <w:sz w:val="18"/>
                <w:szCs w:val="18"/>
                <w:lang w:val="ru-RU" w:eastAsia="en-GB"/>
              </w:rPr>
            </w:pPr>
            <w:r w:rsidRPr="00E45A79">
              <w:rPr>
                <w:rFonts w:eastAsia="Times New Roman" w:cs="Times New Roman"/>
                <w:color w:val="000000"/>
                <w:sz w:val="18"/>
                <w:szCs w:val="18"/>
                <w:lang w:val="ru-RU" w:eastAsia="en-GB"/>
              </w:rPr>
              <w:t>4,250,000</w:t>
            </w:r>
          </w:p>
        </w:tc>
      </w:tr>
      <w:tr w:rsidR="00077BA6" w:rsidRPr="00290B01" w14:paraId="572387AD" w14:textId="77777777" w:rsidTr="004120E2">
        <w:trPr>
          <w:trHeight w:val="288"/>
        </w:trPr>
        <w:tc>
          <w:tcPr>
            <w:tcW w:w="5245" w:type="dxa"/>
            <w:tcBorders>
              <w:top w:val="nil"/>
              <w:left w:val="nil"/>
              <w:bottom w:val="nil"/>
              <w:right w:val="nil"/>
            </w:tcBorders>
            <w:shd w:val="clear" w:color="auto" w:fill="auto"/>
            <w:noWrap/>
            <w:vAlign w:val="center"/>
            <w:hideMark/>
          </w:tcPr>
          <w:p w14:paraId="04D8BEEF" w14:textId="23B86D88" w:rsidR="00077BA6" w:rsidRPr="00290B01" w:rsidRDefault="00077BA6" w:rsidP="000B68BF">
            <w:pPr>
              <w:rPr>
                <w:rFonts w:eastAsia="Times New Roman" w:cs="Times New Roman"/>
                <w:color w:val="000000"/>
                <w:sz w:val="18"/>
                <w:szCs w:val="18"/>
                <w:lang w:eastAsia="en-GB"/>
              </w:rPr>
            </w:pPr>
            <w:r>
              <w:rPr>
                <w:rFonts w:eastAsia="Times New Roman" w:cs="Times New Roman"/>
                <w:color w:val="000000"/>
                <w:sz w:val="18"/>
                <w:szCs w:val="18"/>
                <w:lang w:eastAsia="en-GB"/>
              </w:rPr>
              <w:t>Deposit with bank</w:t>
            </w:r>
            <w:r w:rsidRPr="00290B01">
              <w:rPr>
                <w:rFonts w:eastAsia="Times New Roman" w:cs="Times New Roman"/>
                <w:color w:val="000000"/>
                <w:sz w:val="18"/>
                <w:szCs w:val="18"/>
                <w:lang w:eastAsia="en-GB"/>
              </w:rPr>
              <w:t>, AZN</w:t>
            </w:r>
          </w:p>
        </w:tc>
        <w:tc>
          <w:tcPr>
            <w:tcW w:w="709" w:type="dxa"/>
            <w:tcBorders>
              <w:top w:val="nil"/>
              <w:left w:val="nil"/>
              <w:bottom w:val="nil"/>
              <w:right w:val="nil"/>
            </w:tcBorders>
            <w:shd w:val="clear" w:color="auto" w:fill="auto"/>
            <w:noWrap/>
            <w:vAlign w:val="center"/>
            <w:hideMark/>
          </w:tcPr>
          <w:p w14:paraId="0A217EB1" w14:textId="77777777" w:rsidR="00077BA6" w:rsidRPr="00290B01" w:rsidRDefault="00077BA6"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4205F1B1" w14:textId="1626F62A" w:rsidR="00077BA6" w:rsidRPr="00E45A79" w:rsidRDefault="00E45A79" w:rsidP="004120E2">
            <w:pPr>
              <w:jc w:val="right"/>
              <w:rPr>
                <w:rFonts w:eastAsia="Times New Roman" w:cs="Times New Roman"/>
                <w:b/>
                <w:bCs/>
                <w:sz w:val="18"/>
                <w:szCs w:val="18"/>
                <w:lang w:val="ru-RU" w:eastAsia="en-GB"/>
              </w:rPr>
            </w:pPr>
            <w:r w:rsidRPr="00E45A79">
              <w:rPr>
                <w:rFonts w:eastAsia="Times New Roman" w:cs="Times New Roman"/>
                <w:b/>
                <w:bCs/>
                <w:sz w:val="18"/>
                <w:szCs w:val="18"/>
                <w:lang w:val="ru-RU" w:eastAsia="en-GB"/>
              </w:rPr>
              <w:t>6,800,000</w:t>
            </w:r>
          </w:p>
        </w:tc>
        <w:tc>
          <w:tcPr>
            <w:tcW w:w="1560" w:type="dxa"/>
            <w:tcBorders>
              <w:top w:val="nil"/>
              <w:left w:val="nil"/>
              <w:bottom w:val="nil"/>
              <w:right w:val="nil"/>
            </w:tcBorders>
            <w:shd w:val="clear" w:color="auto" w:fill="auto"/>
            <w:noWrap/>
            <w:vAlign w:val="center"/>
            <w:hideMark/>
          </w:tcPr>
          <w:p w14:paraId="7915DF46" w14:textId="7807FB90" w:rsidR="00077BA6" w:rsidRPr="00E45A79" w:rsidRDefault="005720BF" w:rsidP="000B68BF">
            <w:pPr>
              <w:jc w:val="right"/>
              <w:rPr>
                <w:rFonts w:eastAsia="Times New Roman" w:cs="Times New Roman"/>
                <w:color w:val="000000"/>
                <w:sz w:val="18"/>
                <w:szCs w:val="18"/>
                <w:lang w:val="ru-RU" w:eastAsia="en-GB"/>
              </w:rPr>
            </w:pPr>
            <w:r w:rsidRPr="00E45A79">
              <w:rPr>
                <w:rFonts w:eastAsia="Times New Roman" w:cs="Times New Roman"/>
                <w:color w:val="000000"/>
                <w:sz w:val="18"/>
                <w:szCs w:val="18"/>
                <w:lang w:val="ru-RU" w:eastAsia="en-GB"/>
              </w:rPr>
              <w:t>2,500,000</w:t>
            </w:r>
          </w:p>
        </w:tc>
      </w:tr>
      <w:tr w:rsidR="00077BA6" w:rsidRPr="00290B01" w14:paraId="7279B839" w14:textId="77777777" w:rsidTr="004120E2">
        <w:trPr>
          <w:trHeight w:val="378"/>
        </w:trPr>
        <w:tc>
          <w:tcPr>
            <w:tcW w:w="5245" w:type="dxa"/>
            <w:tcBorders>
              <w:top w:val="nil"/>
              <w:left w:val="nil"/>
              <w:bottom w:val="nil"/>
              <w:right w:val="nil"/>
            </w:tcBorders>
            <w:shd w:val="clear" w:color="auto" w:fill="auto"/>
            <w:vAlign w:val="center"/>
            <w:hideMark/>
          </w:tcPr>
          <w:p w14:paraId="6CFD097D" w14:textId="4B3AC22B" w:rsidR="00077BA6" w:rsidRPr="00290B01" w:rsidRDefault="00077BA6" w:rsidP="000B68BF">
            <w:pPr>
              <w:rPr>
                <w:rFonts w:eastAsia="Times New Roman" w:cs="Times New Roman"/>
                <w:color w:val="000000"/>
                <w:sz w:val="18"/>
                <w:szCs w:val="18"/>
                <w:lang w:eastAsia="en-GB"/>
              </w:rPr>
            </w:pPr>
            <w:r>
              <w:rPr>
                <w:rFonts w:eastAsia="Times New Roman" w:cs="Times New Roman"/>
                <w:color w:val="000000"/>
                <w:sz w:val="18"/>
                <w:szCs w:val="18"/>
                <w:lang w:eastAsia="en-GB"/>
              </w:rPr>
              <w:t>Interest income receivable on deposits with banks</w:t>
            </w:r>
          </w:p>
        </w:tc>
        <w:tc>
          <w:tcPr>
            <w:tcW w:w="709" w:type="dxa"/>
            <w:tcBorders>
              <w:top w:val="nil"/>
              <w:left w:val="nil"/>
              <w:bottom w:val="nil"/>
              <w:right w:val="nil"/>
            </w:tcBorders>
            <w:shd w:val="clear" w:color="auto" w:fill="auto"/>
            <w:noWrap/>
            <w:vAlign w:val="center"/>
            <w:hideMark/>
          </w:tcPr>
          <w:p w14:paraId="4261F79F" w14:textId="77777777" w:rsidR="00077BA6" w:rsidRPr="00290B01" w:rsidRDefault="00077BA6"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4365684D" w14:textId="2436AB2E" w:rsidR="00077BA6" w:rsidRPr="00E45A79" w:rsidRDefault="00E45A79" w:rsidP="004120E2">
            <w:pPr>
              <w:jc w:val="right"/>
              <w:rPr>
                <w:rFonts w:eastAsia="Times New Roman" w:cs="Times New Roman"/>
                <w:b/>
                <w:bCs/>
                <w:sz w:val="18"/>
                <w:szCs w:val="18"/>
                <w:lang w:val="ru-RU" w:eastAsia="en-GB"/>
              </w:rPr>
            </w:pPr>
            <w:r w:rsidRPr="00E45A79">
              <w:rPr>
                <w:rFonts w:eastAsia="Times New Roman" w:cs="Times New Roman"/>
                <w:b/>
                <w:bCs/>
                <w:sz w:val="18"/>
                <w:szCs w:val="18"/>
                <w:lang w:val="ru-RU" w:eastAsia="en-GB"/>
              </w:rPr>
              <w:t>36,089</w:t>
            </w:r>
          </w:p>
        </w:tc>
        <w:tc>
          <w:tcPr>
            <w:tcW w:w="1560" w:type="dxa"/>
            <w:tcBorders>
              <w:top w:val="nil"/>
              <w:left w:val="nil"/>
              <w:bottom w:val="nil"/>
              <w:right w:val="nil"/>
            </w:tcBorders>
            <w:shd w:val="clear" w:color="auto" w:fill="auto"/>
            <w:noWrap/>
            <w:vAlign w:val="center"/>
            <w:hideMark/>
          </w:tcPr>
          <w:p w14:paraId="245F2E23" w14:textId="0FD330F4" w:rsidR="00077BA6" w:rsidRPr="00E45A79" w:rsidRDefault="005720BF" w:rsidP="000B68BF">
            <w:pPr>
              <w:jc w:val="right"/>
              <w:rPr>
                <w:rFonts w:eastAsia="Times New Roman" w:cs="Times New Roman"/>
                <w:color w:val="000000"/>
                <w:sz w:val="18"/>
                <w:szCs w:val="18"/>
                <w:lang w:val="ru-RU" w:eastAsia="en-GB"/>
              </w:rPr>
            </w:pPr>
            <w:r w:rsidRPr="00E45A79">
              <w:rPr>
                <w:rFonts w:eastAsia="Times New Roman" w:cs="Times New Roman"/>
                <w:color w:val="000000"/>
                <w:sz w:val="18"/>
                <w:szCs w:val="18"/>
                <w:lang w:val="ru-RU" w:eastAsia="en-GB"/>
              </w:rPr>
              <w:t>8,840</w:t>
            </w:r>
          </w:p>
        </w:tc>
      </w:tr>
      <w:tr w:rsidR="00077BA6" w:rsidRPr="00290B01" w14:paraId="774A9458" w14:textId="77777777" w:rsidTr="004120E2">
        <w:trPr>
          <w:trHeight w:val="300"/>
        </w:trPr>
        <w:tc>
          <w:tcPr>
            <w:tcW w:w="5245" w:type="dxa"/>
            <w:tcBorders>
              <w:top w:val="single" w:sz="8" w:space="0" w:color="auto"/>
              <w:left w:val="nil"/>
              <w:bottom w:val="double" w:sz="6" w:space="0" w:color="auto"/>
              <w:right w:val="nil"/>
            </w:tcBorders>
            <w:shd w:val="clear" w:color="auto" w:fill="auto"/>
            <w:noWrap/>
            <w:vAlign w:val="center"/>
            <w:hideMark/>
          </w:tcPr>
          <w:p w14:paraId="429D55CC" w14:textId="5D333088" w:rsidR="00077BA6" w:rsidRPr="00290B01" w:rsidRDefault="00077BA6" w:rsidP="000B68BF">
            <w:pP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xml:space="preserve">Total </w:t>
            </w:r>
            <w:r>
              <w:rPr>
                <w:rFonts w:eastAsia="Times New Roman" w:cs="Times New Roman"/>
                <w:b/>
                <w:bCs/>
                <w:color w:val="000000"/>
                <w:sz w:val="18"/>
                <w:szCs w:val="18"/>
                <w:lang w:eastAsia="en-GB"/>
              </w:rPr>
              <w:t>deposits with banks</w:t>
            </w:r>
          </w:p>
        </w:tc>
        <w:tc>
          <w:tcPr>
            <w:tcW w:w="709" w:type="dxa"/>
            <w:tcBorders>
              <w:top w:val="single" w:sz="8" w:space="0" w:color="auto"/>
              <w:left w:val="nil"/>
              <w:bottom w:val="double" w:sz="6" w:space="0" w:color="auto"/>
              <w:right w:val="nil"/>
            </w:tcBorders>
            <w:shd w:val="clear" w:color="auto" w:fill="auto"/>
            <w:noWrap/>
            <w:vAlign w:val="center"/>
            <w:hideMark/>
          </w:tcPr>
          <w:p w14:paraId="28F14CF3" w14:textId="77777777" w:rsidR="00077BA6" w:rsidRPr="00290B01" w:rsidRDefault="00077BA6" w:rsidP="000B68BF">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center"/>
            <w:hideMark/>
          </w:tcPr>
          <w:p w14:paraId="4C21D7F3" w14:textId="7A6301B0" w:rsidR="00077BA6" w:rsidRPr="00E45A79" w:rsidRDefault="00077BA6" w:rsidP="004120E2">
            <w:pPr>
              <w:jc w:val="right"/>
              <w:rPr>
                <w:rFonts w:eastAsia="Times New Roman" w:cs="Times New Roman"/>
                <w:b/>
                <w:bCs/>
                <w:color w:val="000000"/>
                <w:sz w:val="18"/>
                <w:szCs w:val="18"/>
                <w:lang w:val="ru-RU" w:eastAsia="en-GB"/>
              </w:rPr>
            </w:pPr>
            <w:r w:rsidRPr="00E45A79">
              <w:rPr>
                <w:rFonts w:eastAsia="Times New Roman" w:cs="Times New Roman"/>
                <w:b/>
                <w:bCs/>
                <w:color w:val="000000"/>
                <w:sz w:val="18"/>
                <w:szCs w:val="18"/>
                <w:lang w:eastAsia="en-GB"/>
              </w:rPr>
              <w:t> </w:t>
            </w:r>
            <w:r w:rsidR="00E45A79" w:rsidRPr="00E45A79">
              <w:rPr>
                <w:rFonts w:eastAsia="Times New Roman" w:cs="Times New Roman"/>
                <w:b/>
                <w:bCs/>
                <w:color w:val="000000"/>
                <w:sz w:val="18"/>
                <w:szCs w:val="18"/>
                <w:lang w:val="ru-RU" w:eastAsia="en-GB"/>
              </w:rPr>
              <w:t>8,836,089</w:t>
            </w:r>
          </w:p>
        </w:tc>
        <w:tc>
          <w:tcPr>
            <w:tcW w:w="1560" w:type="dxa"/>
            <w:tcBorders>
              <w:top w:val="single" w:sz="8" w:space="0" w:color="auto"/>
              <w:left w:val="nil"/>
              <w:bottom w:val="double" w:sz="6" w:space="0" w:color="auto"/>
              <w:right w:val="nil"/>
            </w:tcBorders>
            <w:shd w:val="clear" w:color="auto" w:fill="auto"/>
            <w:noWrap/>
            <w:vAlign w:val="center"/>
            <w:hideMark/>
          </w:tcPr>
          <w:p w14:paraId="49665EAB" w14:textId="1C8790E4" w:rsidR="00077BA6" w:rsidRPr="00E45A79" w:rsidRDefault="005720BF" w:rsidP="000B68BF">
            <w:pPr>
              <w:jc w:val="right"/>
              <w:rPr>
                <w:rFonts w:eastAsia="Times New Roman" w:cs="Times New Roman"/>
                <w:color w:val="000000"/>
                <w:sz w:val="18"/>
                <w:szCs w:val="18"/>
                <w:lang w:val="en-US" w:eastAsia="en-GB"/>
              </w:rPr>
            </w:pPr>
            <w:r w:rsidRPr="00E45A79">
              <w:rPr>
                <w:rFonts w:eastAsia="Times New Roman" w:cs="Times New Roman"/>
                <w:color w:val="000000"/>
                <w:sz w:val="18"/>
                <w:szCs w:val="18"/>
                <w:lang w:val="ru-RU" w:eastAsia="en-GB"/>
              </w:rPr>
              <w:t>6,758,840</w:t>
            </w:r>
          </w:p>
        </w:tc>
      </w:tr>
    </w:tbl>
    <w:p w14:paraId="70F278E2" w14:textId="77777777" w:rsidR="000B7759" w:rsidRPr="00FF7B09" w:rsidRDefault="000B7759" w:rsidP="000B7759">
      <w:pPr>
        <w:rPr>
          <w:sz w:val="18"/>
          <w:szCs w:val="18"/>
        </w:rPr>
      </w:pPr>
    </w:p>
    <w:p w14:paraId="4DB12F6F" w14:textId="1A3D9C8E" w:rsidR="000B7759" w:rsidRDefault="004120E2" w:rsidP="004120E2">
      <w:pPr>
        <w:pStyle w:val="ListParagraph"/>
        <w:numPr>
          <w:ilvl w:val="0"/>
          <w:numId w:val="1"/>
        </w:numPr>
        <w:spacing w:before="240" w:after="120"/>
        <w:ind w:left="357" w:hanging="357"/>
        <w:contextualSpacing w:val="0"/>
        <w:outlineLvl w:val="0"/>
        <w:rPr>
          <w:b/>
          <w:bCs/>
          <w:sz w:val="18"/>
          <w:szCs w:val="18"/>
          <w:lang w:val="en-US"/>
        </w:rPr>
      </w:pPr>
      <w:bookmarkStart w:id="49" w:name="_Toc57894893"/>
      <w:r>
        <w:rPr>
          <w:b/>
          <w:bCs/>
          <w:sz w:val="18"/>
          <w:szCs w:val="18"/>
          <w:lang w:val="en-US"/>
        </w:rPr>
        <w:t>Receivables</w:t>
      </w:r>
      <w:bookmarkEnd w:id="49"/>
    </w:p>
    <w:tbl>
      <w:tblPr>
        <w:tblW w:w="8789" w:type="dxa"/>
        <w:tblLook w:val="04A0" w:firstRow="1" w:lastRow="0" w:firstColumn="1" w:lastColumn="0" w:noHBand="0" w:noVBand="1"/>
      </w:tblPr>
      <w:tblGrid>
        <w:gridCol w:w="5245"/>
        <w:gridCol w:w="709"/>
        <w:gridCol w:w="1275"/>
        <w:gridCol w:w="1560"/>
      </w:tblGrid>
      <w:tr w:rsidR="004120E2" w:rsidRPr="00E45A79" w14:paraId="7F3416FC" w14:textId="77777777" w:rsidTr="000B68BF">
        <w:trPr>
          <w:trHeight w:val="305"/>
        </w:trPr>
        <w:tc>
          <w:tcPr>
            <w:tcW w:w="5245" w:type="dxa"/>
            <w:tcBorders>
              <w:top w:val="nil"/>
              <w:left w:val="nil"/>
              <w:bottom w:val="single" w:sz="8" w:space="0" w:color="auto"/>
              <w:right w:val="nil"/>
            </w:tcBorders>
            <w:shd w:val="clear" w:color="auto" w:fill="auto"/>
            <w:noWrap/>
            <w:vAlign w:val="center"/>
            <w:hideMark/>
          </w:tcPr>
          <w:p w14:paraId="63853700" w14:textId="77777777" w:rsidR="004120E2" w:rsidRPr="00E45A79" w:rsidRDefault="004120E2" w:rsidP="000B68BF">
            <w:pPr>
              <w:jc w:val="right"/>
              <w:rPr>
                <w:rFonts w:eastAsia="Times New Roman" w:cs="Times New Roman"/>
                <w:b/>
                <w:bCs/>
                <w:color w:val="000000"/>
                <w:sz w:val="18"/>
                <w:szCs w:val="18"/>
                <w:lang w:eastAsia="en-GB"/>
              </w:rPr>
            </w:pPr>
            <w:r w:rsidRPr="00E45A79">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089BE4CD" w14:textId="77777777" w:rsidR="004120E2" w:rsidRPr="00E45A79" w:rsidRDefault="004120E2" w:rsidP="000B68BF">
            <w:pPr>
              <w:jc w:val="center"/>
              <w:rPr>
                <w:rFonts w:eastAsia="Times New Roman" w:cs="Times New Roman"/>
                <w:b/>
                <w:bCs/>
                <w:color w:val="000000"/>
                <w:sz w:val="18"/>
                <w:szCs w:val="18"/>
                <w:lang w:eastAsia="en-GB"/>
              </w:rPr>
            </w:pPr>
            <w:r w:rsidRPr="00E45A79">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5FA5523B" w14:textId="61F879B2" w:rsidR="004120E2" w:rsidRPr="00E45A79" w:rsidRDefault="00703807" w:rsidP="000B68BF">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31.12.</w:t>
            </w:r>
            <w:r w:rsidR="004120E2" w:rsidRPr="00E45A79">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64507F64" w14:textId="0C63DAD9" w:rsidR="004120E2" w:rsidRPr="00E45A79" w:rsidRDefault="00703807" w:rsidP="000B68BF">
            <w:pPr>
              <w:jc w:val="right"/>
              <w:rPr>
                <w:rFonts w:eastAsia="Times New Roman" w:cs="Times New Roman"/>
                <w:color w:val="000000"/>
                <w:sz w:val="18"/>
                <w:szCs w:val="18"/>
                <w:lang w:eastAsia="en-GB"/>
              </w:rPr>
            </w:pPr>
            <w:r>
              <w:rPr>
                <w:rFonts w:eastAsia="Times New Roman" w:cs="Times New Roman"/>
                <w:color w:val="000000"/>
                <w:sz w:val="18"/>
                <w:szCs w:val="18"/>
                <w:lang w:eastAsia="en-GB"/>
              </w:rPr>
              <w:t>31.12.</w:t>
            </w:r>
            <w:r w:rsidR="004120E2" w:rsidRPr="00E45A79">
              <w:rPr>
                <w:rFonts w:eastAsia="Times New Roman" w:cs="Times New Roman"/>
                <w:color w:val="000000"/>
                <w:sz w:val="18"/>
                <w:szCs w:val="18"/>
                <w:lang w:eastAsia="en-GB"/>
              </w:rPr>
              <w:t>2018</w:t>
            </w:r>
          </w:p>
        </w:tc>
      </w:tr>
      <w:tr w:rsidR="004120E2" w:rsidRPr="00E45A79" w14:paraId="20AB3AA7" w14:textId="77777777" w:rsidTr="004120E2">
        <w:trPr>
          <w:trHeight w:val="288"/>
        </w:trPr>
        <w:tc>
          <w:tcPr>
            <w:tcW w:w="5245" w:type="dxa"/>
            <w:tcBorders>
              <w:top w:val="nil"/>
              <w:left w:val="nil"/>
              <w:bottom w:val="nil"/>
              <w:right w:val="nil"/>
            </w:tcBorders>
            <w:shd w:val="clear" w:color="auto" w:fill="auto"/>
            <w:noWrap/>
            <w:vAlign w:val="center"/>
            <w:hideMark/>
          </w:tcPr>
          <w:p w14:paraId="0C62C4D3" w14:textId="39D3F9B5" w:rsidR="004120E2" w:rsidRPr="00E45A79" w:rsidRDefault="004120E2" w:rsidP="000B68BF">
            <w:pPr>
              <w:rPr>
                <w:rFonts w:eastAsia="Times New Roman" w:cs="Times New Roman"/>
                <w:color w:val="000000"/>
                <w:sz w:val="18"/>
                <w:szCs w:val="18"/>
                <w:lang w:eastAsia="en-GB"/>
              </w:rPr>
            </w:pPr>
            <w:r w:rsidRPr="00E45A79">
              <w:rPr>
                <w:rFonts w:eastAsia="Times New Roman" w:cs="Times New Roman"/>
                <w:color w:val="000000"/>
                <w:sz w:val="18"/>
                <w:szCs w:val="18"/>
                <w:lang w:eastAsia="en-GB"/>
              </w:rPr>
              <w:t>Receivables from direct insurance business</w:t>
            </w:r>
          </w:p>
        </w:tc>
        <w:tc>
          <w:tcPr>
            <w:tcW w:w="709" w:type="dxa"/>
            <w:tcBorders>
              <w:top w:val="nil"/>
              <w:left w:val="nil"/>
              <w:bottom w:val="nil"/>
              <w:right w:val="nil"/>
            </w:tcBorders>
            <w:shd w:val="clear" w:color="auto" w:fill="auto"/>
            <w:noWrap/>
            <w:vAlign w:val="bottom"/>
            <w:hideMark/>
          </w:tcPr>
          <w:p w14:paraId="44258F1F" w14:textId="77777777" w:rsidR="004120E2" w:rsidRPr="00E45A79" w:rsidRDefault="004120E2"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6FF06223" w14:textId="350B4A11" w:rsidR="004120E2" w:rsidRPr="00E45A79" w:rsidRDefault="00E45A79" w:rsidP="000B68BF">
            <w:pPr>
              <w:jc w:val="right"/>
              <w:rPr>
                <w:rFonts w:eastAsia="Times New Roman" w:cs="Times New Roman"/>
                <w:b/>
                <w:bCs/>
                <w:sz w:val="18"/>
                <w:szCs w:val="18"/>
                <w:lang w:val="en-US" w:eastAsia="en-GB"/>
              </w:rPr>
            </w:pPr>
            <w:r w:rsidRPr="00E45A79">
              <w:rPr>
                <w:rFonts w:eastAsia="Times New Roman" w:cs="Times New Roman"/>
                <w:b/>
                <w:bCs/>
                <w:sz w:val="18"/>
                <w:szCs w:val="18"/>
                <w:lang w:val="ru-RU" w:eastAsia="en-GB"/>
              </w:rPr>
              <w:t>1,</w:t>
            </w:r>
            <w:r>
              <w:rPr>
                <w:rFonts w:eastAsia="Times New Roman" w:cs="Times New Roman"/>
                <w:b/>
                <w:bCs/>
                <w:sz w:val="18"/>
                <w:szCs w:val="18"/>
                <w:lang w:val="en-US" w:eastAsia="en-GB"/>
              </w:rPr>
              <w:t>333,678</w:t>
            </w:r>
          </w:p>
        </w:tc>
        <w:tc>
          <w:tcPr>
            <w:tcW w:w="1560" w:type="dxa"/>
            <w:tcBorders>
              <w:top w:val="nil"/>
              <w:left w:val="nil"/>
              <w:bottom w:val="nil"/>
              <w:right w:val="nil"/>
            </w:tcBorders>
            <w:shd w:val="clear" w:color="auto" w:fill="auto"/>
            <w:noWrap/>
            <w:vAlign w:val="center"/>
          </w:tcPr>
          <w:p w14:paraId="73F1DCA9" w14:textId="1A0F8F2D" w:rsidR="004120E2" w:rsidRPr="00E45A79" w:rsidRDefault="004120E2" w:rsidP="000B68BF">
            <w:pPr>
              <w:jc w:val="right"/>
              <w:rPr>
                <w:rFonts w:eastAsia="Times New Roman" w:cs="Times New Roman"/>
                <w:color w:val="000000"/>
                <w:sz w:val="18"/>
                <w:szCs w:val="18"/>
                <w:lang w:val="en-US" w:eastAsia="en-GB"/>
              </w:rPr>
            </w:pPr>
            <w:r w:rsidRPr="00E45A79">
              <w:rPr>
                <w:rFonts w:eastAsia="Times New Roman" w:cs="Times New Roman"/>
                <w:color w:val="000000"/>
                <w:sz w:val="18"/>
                <w:szCs w:val="18"/>
                <w:lang w:val="en-US" w:eastAsia="en-GB"/>
              </w:rPr>
              <w:t>6,576,384</w:t>
            </w:r>
          </w:p>
        </w:tc>
      </w:tr>
      <w:tr w:rsidR="004120E2" w:rsidRPr="00E45A79" w14:paraId="2C76E29D" w14:textId="77777777" w:rsidTr="004120E2">
        <w:trPr>
          <w:trHeight w:val="378"/>
        </w:trPr>
        <w:tc>
          <w:tcPr>
            <w:tcW w:w="5245" w:type="dxa"/>
            <w:tcBorders>
              <w:top w:val="nil"/>
              <w:left w:val="nil"/>
              <w:bottom w:val="nil"/>
              <w:right w:val="nil"/>
            </w:tcBorders>
            <w:shd w:val="clear" w:color="auto" w:fill="auto"/>
            <w:vAlign w:val="center"/>
            <w:hideMark/>
          </w:tcPr>
          <w:p w14:paraId="720B90A8" w14:textId="1F53F920" w:rsidR="004120E2" w:rsidRPr="00E45A79" w:rsidRDefault="00E45A79" w:rsidP="000B68BF">
            <w:pPr>
              <w:rPr>
                <w:rFonts w:eastAsia="Times New Roman" w:cs="Times New Roman"/>
                <w:color w:val="000000"/>
                <w:sz w:val="18"/>
                <w:szCs w:val="18"/>
                <w:lang w:val="en-US" w:eastAsia="en-GB"/>
              </w:rPr>
            </w:pPr>
            <w:r>
              <w:rPr>
                <w:rFonts w:eastAsia="Times New Roman" w:cs="Times New Roman"/>
                <w:color w:val="000000"/>
                <w:sz w:val="18"/>
                <w:szCs w:val="18"/>
                <w:lang w:val="en-US" w:eastAsia="en-GB"/>
              </w:rPr>
              <w:t>Allowance for impairment</w:t>
            </w:r>
          </w:p>
        </w:tc>
        <w:tc>
          <w:tcPr>
            <w:tcW w:w="709" w:type="dxa"/>
            <w:tcBorders>
              <w:top w:val="nil"/>
              <w:left w:val="nil"/>
              <w:bottom w:val="nil"/>
              <w:right w:val="nil"/>
            </w:tcBorders>
            <w:shd w:val="clear" w:color="auto" w:fill="auto"/>
            <w:noWrap/>
            <w:vAlign w:val="center"/>
            <w:hideMark/>
          </w:tcPr>
          <w:p w14:paraId="40B98148" w14:textId="77777777" w:rsidR="004120E2" w:rsidRPr="00E45A79" w:rsidRDefault="004120E2"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27A17190" w14:textId="5ED4BD5C" w:rsidR="004120E2" w:rsidRPr="00E45A79" w:rsidRDefault="00E45A79" w:rsidP="000B68BF">
            <w:pPr>
              <w:jc w:val="right"/>
              <w:rPr>
                <w:rFonts w:eastAsia="Times New Roman" w:cs="Times New Roman"/>
                <w:b/>
                <w:bCs/>
                <w:sz w:val="18"/>
                <w:szCs w:val="18"/>
                <w:lang w:val="en-US" w:eastAsia="en-GB"/>
              </w:rPr>
            </w:pPr>
            <w:r>
              <w:rPr>
                <w:rFonts w:eastAsia="Times New Roman" w:cs="Times New Roman"/>
                <w:b/>
                <w:bCs/>
                <w:sz w:val="18"/>
                <w:szCs w:val="18"/>
                <w:lang w:val="en-US" w:eastAsia="en-GB"/>
              </w:rPr>
              <w:t>(38,119)</w:t>
            </w:r>
          </w:p>
        </w:tc>
        <w:tc>
          <w:tcPr>
            <w:tcW w:w="1560" w:type="dxa"/>
            <w:tcBorders>
              <w:top w:val="nil"/>
              <w:left w:val="nil"/>
              <w:bottom w:val="nil"/>
              <w:right w:val="nil"/>
            </w:tcBorders>
            <w:shd w:val="clear" w:color="auto" w:fill="auto"/>
            <w:noWrap/>
            <w:vAlign w:val="center"/>
          </w:tcPr>
          <w:p w14:paraId="778E62F2" w14:textId="61F46FE9" w:rsidR="004120E2" w:rsidRPr="00E45A79" w:rsidRDefault="004120E2" w:rsidP="000B68BF">
            <w:pPr>
              <w:jc w:val="right"/>
              <w:rPr>
                <w:rFonts w:eastAsia="Times New Roman" w:cs="Times New Roman"/>
                <w:color w:val="000000"/>
                <w:sz w:val="18"/>
                <w:szCs w:val="18"/>
                <w:lang w:eastAsia="en-GB"/>
              </w:rPr>
            </w:pPr>
            <w:r w:rsidRPr="00E45A79">
              <w:rPr>
                <w:rFonts w:eastAsia="Times New Roman" w:cs="Times New Roman"/>
                <w:color w:val="000000"/>
                <w:sz w:val="18"/>
                <w:szCs w:val="18"/>
                <w:lang w:eastAsia="en-GB"/>
              </w:rPr>
              <w:t>-</w:t>
            </w:r>
          </w:p>
        </w:tc>
      </w:tr>
      <w:tr w:rsidR="004120E2" w:rsidRPr="00E45A79" w14:paraId="67822488" w14:textId="77777777" w:rsidTr="004120E2">
        <w:trPr>
          <w:trHeight w:val="300"/>
        </w:trPr>
        <w:tc>
          <w:tcPr>
            <w:tcW w:w="5245" w:type="dxa"/>
            <w:tcBorders>
              <w:top w:val="single" w:sz="8" w:space="0" w:color="auto"/>
              <w:left w:val="nil"/>
              <w:bottom w:val="double" w:sz="6" w:space="0" w:color="auto"/>
              <w:right w:val="nil"/>
            </w:tcBorders>
            <w:shd w:val="clear" w:color="auto" w:fill="auto"/>
            <w:noWrap/>
            <w:vAlign w:val="center"/>
            <w:hideMark/>
          </w:tcPr>
          <w:p w14:paraId="67E06EE2" w14:textId="0A79BBFA" w:rsidR="004120E2" w:rsidRPr="00E45A79" w:rsidRDefault="004120E2" w:rsidP="000B68BF">
            <w:pPr>
              <w:rPr>
                <w:rFonts w:eastAsia="Times New Roman" w:cs="Times New Roman"/>
                <w:b/>
                <w:bCs/>
                <w:color w:val="000000"/>
                <w:sz w:val="18"/>
                <w:szCs w:val="18"/>
                <w:lang w:eastAsia="en-GB"/>
              </w:rPr>
            </w:pPr>
            <w:r w:rsidRPr="00E45A79">
              <w:rPr>
                <w:rFonts w:eastAsia="Times New Roman" w:cs="Times New Roman"/>
                <w:b/>
                <w:bCs/>
                <w:color w:val="000000"/>
                <w:sz w:val="18"/>
                <w:szCs w:val="18"/>
                <w:lang w:eastAsia="en-GB"/>
              </w:rPr>
              <w:t>Total receivables</w:t>
            </w:r>
          </w:p>
        </w:tc>
        <w:tc>
          <w:tcPr>
            <w:tcW w:w="709" w:type="dxa"/>
            <w:tcBorders>
              <w:top w:val="single" w:sz="8" w:space="0" w:color="auto"/>
              <w:left w:val="nil"/>
              <w:bottom w:val="double" w:sz="6" w:space="0" w:color="auto"/>
              <w:right w:val="nil"/>
            </w:tcBorders>
            <w:shd w:val="clear" w:color="auto" w:fill="auto"/>
            <w:noWrap/>
            <w:vAlign w:val="center"/>
            <w:hideMark/>
          </w:tcPr>
          <w:p w14:paraId="280AC9BE" w14:textId="77777777" w:rsidR="004120E2" w:rsidRPr="00E45A79" w:rsidRDefault="004120E2" w:rsidP="000B68BF">
            <w:pPr>
              <w:jc w:val="center"/>
              <w:rPr>
                <w:rFonts w:eastAsia="Times New Roman" w:cs="Times New Roman"/>
                <w:b/>
                <w:bCs/>
                <w:color w:val="000000"/>
                <w:sz w:val="18"/>
                <w:szCs w:val="18"/>
                <w:lang w:eastAsia="en-GB"/>
              </w:rPr>
            </w:pPr>
            <w:r w:rsidRPr="00E45A79">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center"/>
            <w:hideMark/>
          </w:tcPr>
          <w:p w14:paraId="40EA383E" w14:textId="631081AA" w:rsidR="004120E2" w:rsidRPr="00E45A79" w:rsidRDefault="004120E2" w:rsidP="000B68BF">
            <w:pPr>
              <w:jc w:val="right"/>
              <w:rPr>
                <w:rFonts w:eastAsia="Times New Roman" w:cs="Times New Roman"/>
                <w:b/>
                <w:bCs/>
                <w:color w:val="000000"/>
                <w:sz w:val="18"/>
                <w:szCs w:val="18"/>
                <w:lang w:val="ru-RU" w:eastAsia="en-GB"/>
              </w:rPr>
            </w:pPr>
            <w:r w:rsidRPr="00E45A79">
              <w:rPr>
                <w:rFonts w:eastAsia="Times New Roman" w:cs="Times New Roman"/>
                <w:b/>
                <w:bCs/>
                <w:color w:val="000000"/>
                <w:sz w:val="18"/>
                <w:szCs w:val="18"/>
                <w:lang w:eastAsia="en-GB"/>
              </w:rPr>
              <w:t> </w:t>
            </w:r>
            <w:r w:rsidR="00E45A79" w:rsidRPr="00E45A79">
              <w:rPr>
                <w:rFonts w:eastAsia="Times New Roman" w:cs="Times New Roman"/>
                <w:b/>
                <w:bCs/>
                <w:color w:val="000000"/>
                <w:sz w:val="18"/>
                <w:szCs w:val="18"/>
                <w:lang w:val="ru-RU" w:eastAsia="en-GB"/>
              </w:rPr>
              <w:t>1,295,559</w:t>
            </w:r>
          </w:p>
        </w:tc>
        <w:tc>
          <w:tcPr>
            <w:tcW w:w="1560" w:type="dxa"/>
            <w:tcBorders>
              <w:top w:val="single" w:sz="8" w:space="0" w:color="auto"/>
              <w:left w:val="nil"/>
              <w:bottom w:val="double" w:sz="6" w:space="0" w:color="auto"/>
              <w:right w:val="nil"/>
            </w:tcBorders>
            <w:shd w:val="clear" w:color="auto" w:fill="auto"/>
            <w:noWrap/>
            <w:vAlign w:val="center"/>
          </w:tcPr>
          <w:p w14:paraId="747C8188" w14:textId="1BF5D833" w:rsidR="004120E2" w:rsidRPr="00E45A79" w:rsidRDefault="004120E2" w:rsidP="000B68BF">
            <w:pPr>
              <w:jc w:val="right"/>
              <w:rPr>
                <w:rFonts w:eastAsia="Times New Roman" w:cs="Times New Roman"/>
                <w:color w:val="000000"/>
                <w:sz w:val="18"/>
                <w:szCs w:val="18"/>
                <w:lang w:val="en-US" w:eastAsia="en-GB"/>
              </w:rPr>
            </w:pPr>
            <w:r w:rsidRPr="00E45A79">
              <w:rPr>
                <w:rFonts w:eastAsia="Times New Roman" w:cs="Times New Roman"/>
                <w:color w:val="000000"/>
                <w:sz w:val="18"/>
                <w:szCs w:val="18"/>
                <w:lang w:val="en-US" w:eastAsia="en-GB"/>
              </w:rPr>
              <w:t>6,576,384</w:t>
            </w:r>
          </w:p>
        </w:tc>
      </w:tr>
    </w:tbl>
    <w:p w14:paraId="48ABA929" w14:textId="62D1E35F" w:rsidR="004120E2" w:rsidRDefault="004120E2" w:rsidP="00DD648A">
      <w:pPr>
        <w:spacing w:before="120" w:after="120"/>
        <w:jc w:val="both"/>
        <w:rPr>
          <w:sz w:val="18"/>
          <w:szCs w:val="18"/>
          <w:lang w:val="en-US"/>
        </w:rPr>
      </w:pPr>
      <w:r w:rsidRPr="00F5144A">
        <w:rPr>
          <w:sz w:val="18"/>
          <w:szCs w:val="18"/>
          <w:lang w:val="en-US"/>
        </w:rPr>
        <w:t xml:space="preserve">As per 31 December 2019 the Company </w:t>
      </w:r>
      <w:r w:rsidR="00DD648A">
        <w:rPr>
          <w:sz w:val="18"/>
          <w:szCs w:val="18"/>
          <w:lang w:val="en-US"/>
        </w:rPr>
        <w:t xml:space="preserve">accrued provision for impairment for full amount of </w:t>
      </w:r>
      <w:proofErr w:type="spellStart"/>
      <w:r w:rsidR="00DD648A" w:rsidRPr="00DD648A">
        <w:rPr>
          <w:sz w:val="18"/>
          <w:szCs w:val="18"/>
          <w:lang w:val="en-US"/>
        </w:rPr>
        <w:t>Aran</w:t>
      </w:r>
      <w:proofErr w:type="spellEnd"/>
      <w:r w:rsidR="00DD648A" w:rsidRPr="00DD648A">
        <w:rPr>
          <w:sz w:val="18"/>
          <w:szCs w:val="18"/>
          <w:lang w:val="en-US"/>
        </w:rPr>
        <w:t xml:space="preserve"> Oil Operating Company </w:t>
      </w:r>
      <w:r w:rsidR="00DD648A">
        <w:rPr>
          <w:sz w:val="18"/>
          <w:szCs w:val="18"/>
          <w:lang w:val="en-US"/>
        </w:rPr>
        <w:t xml:space="preserve">LLC’s receivable due to </w:t>
      </w:r>
      <w:r w:rsidR="00DD648A" w:rsidRPr="00DD648A">
        <w:rPr>
          <w:sz w:val="18"/>
          <w:szCs w:val="18"/>
          <w:lang w:val="en-US"/>
        </w:rPr>
        <w:t xml:space="preserve">the existing solvency problems </w:t>
      </w:r>
      <w:r w:rsidRPr="00F5144A">
        <w:rPr>
          <w:sz w:val="18"/>
          <w:szCs w:val="18"/>
          <w:lang w:val="en-US"/>
        </w:rPr>
        <w:t>(Note 2</w:t>
      </w:r>
      <w:r w:rsidR="00DD648A">
        <w:rPr>
          <w:sz w:val="18"/>
          <w:szCs w:val="18"/>
          <w:lang w:val="en-US"/>
        </w:rPr>
        <w:t>8</w:t>
      </w:r>
      <w:r w:rsidRPr="00F5144A">
        <w:rPr>
          <w:sz w:val="18"/>
          <w:szCs w:val="18"/>
          <w:lang w:val="en-US"/>
        </w:rPr>
        <w:t>).</w:t>
      </w:r>
    </w:p>
    <w:p w14:paraId="14FAE436" w14:textId="36EBB125" w:rsidR="00F5144A" w:rsidRDefault="00F5144A" w:rsidP="004120E2">
      <w:pPr>
        <w:spacing w:before="120" w:after="120"/>
        <w:rPr>
          <w:sz w:val="18"/>
          <w:szCs w:val="18"/>
          <w:lang w:val="en-US"/>
        </w:rPr>
      </w:pPr>
      <w:r>
        <w:rPr>
          <w:sz w:val="18"/>
          <w:szCs w:val="18"/>
          <w:lang w:val="en-US"/>
        </w:rPr>
        <w:t>Concentration of receivables as at 31 December 2019 and 2018 was as follows:</w:t>
      </w:r>
    </w:p>
    <w:tbl>
      <w:tblPr>
        <w:tblW w:w="5000" w:type="pct"/>
        <w:tblLook w:val="04A0" w:firstRow="1" w:lastRow="0" w:firstColumn="1" w:lastColumn="0" w:noHBand="0" w:noVBand="1"/>
      </w:tblPr>
      <w:tblGrid>
        <w:gridCol w:w="4307"/>
        <w:gridCol w:w="1210"/>
        <w:gridCol w:w="1192"/>
        <w:gridCol w:w="1374"/>
        <w:gridCol w:w="682"/>
      </w:tblGrid>
      <w:tr w:rsidR="00703807" w:rsidRPr="00EC690A" w14:paraId="51E52EBA" w14:textId="77777777" w:rsidTr="00703807">
        <w:trPr>
          <w:trHeight w:val="300"/>
        </w:trPr>
        <w:tc>
          <w:tcPr>
            <w:tcW w:w="2457" w:type="pct"/>
            <w:tcBorders>
              <w:top w:val="nil"/>
              <w:left w:val="nil"/>
              <w:bottom w:val="nil"/>
              <w:right w:val="nil"/>
            </w:tcBorders>
            <w:shd w:val="clear" w:color="auto" w:fill="auto"/>
            <w:noWrap/>
            <w:vAlign w:val="bottom"/>
            <w:hideMark/>
          </w:tcPr>
          <w:p w14:paraId="5B4E6806" w14:textId="77777777" w:rsidR="00703807" w:rsidRPr="00EC690A" w:rsidRDefault="00703807" w:rsidP="000B68BF">
            <w:pPr>
              <w:rPr>
                <w:color w:val="000000"/>
                <w:sz w:val="18"/>
                <w:szCs w:val="18"/>
                <w:lang w:eastAsia="en-GB"/>
              </w:rPr>
            </w:pPr>
          </w:p>
        </w:tc>
        <w:tc>
          <w:tcPr>
            <w:tcW w:w="690" w:type="pct"/>
            <w:tcBorders>
              <w:top w:val="nil"/>
              <w:left w:val="nil"/>
              <w:bottom w:val="nil"/>
              <w:right w:val="nil"/>
            </w:tcBorders>
            <w:shd w:val="clear" w:color="auto" w:fill="auto"/>
            <w:noWrap/>
            <w:vAlign w:val="bottom"/>
            <w:hideMark/>
          </w:tcPr>
          <w:p w14:paraId="69F9A743" w14:textId="77777777" w:rsidR="00703807" w:rsidRPr="00EC690A" w:rsidRDefault="00703807" w:rsidP="000B68BF">
            <w:pPr>
              <w:jc w:val="right"/>
              <w:rPr>
                <w:b/>
                <w:bCs/>
                <w:color w:val="000000"/>
                <w:sz w:val="18"/>
                <w:szCs w:val="18"/>
                <w:lang w:eastAsia="en-GB"/>
              </w:rPr>
            </w:pPr>
          </w:p>
        </w:tc>
        <w:tc>
          <w:tcPr>
            <w:tcW w:w="680" w:type="pct"/>
            <w:tcBorders>
              <w:top w:val="nil"/>
              <w:left w:val="nil"/>
              <w:bottom w:val="nil"/>
              <w:right w:val="nil"/>
            </w:tcBorders>
            <w:shd w:val="clear" w:color="auto" w:fill="auto"/>
            <w:noWrap/>
            <w:vAlign w:val="bottom"/>
            <w:hideMark/>
          </w:tcPr>
          <w:p w14:paraId="2992A390" w14:textId="19B9492D" w:rsidR="00703807" w:rsidRPr="00EC690A" w:rsidRDefault="00703807" w:rsidP="000B68BF">
            <w:pPr>
              <w:jc w:val="right"/>
              <w:rPr>
                <w:b/>
                <w:bCs/>
                <w:color w:val="000000"/>
                <w:sz w:val="18"/>
                <w:szCs w:val="18"/>
                <w:lang w:eastAsia="en-GB"/>
              </w:rPr>
            </w:pPr>
            <w:r>
              <w:rPr>
                <w:b/>
                <w:bCs/>
                <w:color w:val="000000"/>
                <w:sz w:val="18"/>
                <w:szCs w:val="18"/>
                <w:lang w:eastAsia="en-GB"/>
              </w:rPr>
              <w:t>31.12.</w:t>
            </w:r>
            <w:r w:rsidRPr="00EC690A">
              <w:rPr>
                <w:b/>
                <w:bCs/>
                <w:color w:val="000000"/>
                <w:sz w:val="18"/>
                <w:szCs w:val="18"/>
                <w:lang w:eastAsia="en-GB"/>
              </w:rPr>
              <w:t>201</w:t>
            </w:r>
            <w:r>
              <w:rPr>
                <w:b/>
                <w:bCs/>
                <w:color w:val="000000"/>
                <w:sz w:val="18"/>
                <w:szCs w:val="18"/>
                <w:lang w:eastAsia="en-GB"/>
              </w:rPr>
              <w:t>9</w:t>
            </w:r>
          </w:p>
        </w:tc>
        <w:tc>
          <w:tcPr>
            <w:tcW w:w="1173" w:type="pct"/>
            <w:gridSpan w:val="2"/>
            <w:tcBorders>
              <w:top w:val="nil"/>
              <w:left w:val="nil"/>
              <w:bottom w:val="nil"/>
              <w:right w:val="nil"/>
            </w:tcBorders>
            <w:shd w:val="clear" w:color="auto" w:fill="auto"/>
            <w:noWrap/>
            <w:vAlign w:val="bottom"/>
            <w:hideMark/>
          </w:tcPr>
          <w:p w14:paraId="11BE7041" w14:textId="66D70B1A" w:rsidR="00703807" w:rsidRPr="00703807" w:rsidRDefault="00703807" w:rsidP="00703807">
            <w:pPr>
              <w:jc w:val="right"/>
              <w:rPr>
                <w:color w:val="000000"/>
                <w:sz w:val="18"/>
                <w:szCs w:val="18"/>
                <w:lang w:eastAsia="en-GB"/>
              </w:rPr>
            </w:pPr>
            <w:r w:rsidRPr="00703807">
              <w:rPr>
                <w:color w:val="000000"/>
                <w:sz w:val="18"/>
                <w:szCs w:val="18"/>
                <w:lang w:eastAsia="en-GB"/>
              </w:rPr>
              <w:t>31.12.2018</w:t>
            </w:r>
          </w:p>
        </w:tc>
      </w:tr>
      <w:tr w:rsidR="006304E8" w:rsidRPr="00EC690A" w14:paraId="5BC98F9A" w14:textId="77777777" w:rsidTr="00703807">
        <w:trPr>
          <w:trHeight w:val="300"/>
        </w:trPr>
        <w:tc>
          <w:tcPr>
            <w:tcW w:w="2457" w:type="pct"/>
            <w:tcBorders>
              <w:top w:val="single" w:sz="4" w:space="0" w:color="auto"/>
              <w:left w:val="nil"/>
              <w:bottom w:val="single" w:sz="4" w:space="0" w:color="auto"/>
              <w:right w:val="nil"/>
            </w:tcBorders>
            <w:shd w:val="clear" w:color="auto" w:fill="auto"/>
            <w:noWrap/>
            <w:vAlign w:val="bottom"/>
            <w:hideMark/>
          </w:tcPr>
          <w:p w14:paraId="603E697D" w14:textId="77777777" w:rsidR="006304E8" w:rsidRPr="00EC690A" w:rsidRDefault="006304E8" w:rsidP="000B68BF">
            <w:pPr>
              <w:rPr>
                <w:color w:val="000000"/>
                <w:sz w:val="18"/>
                <w:szCs w:val="18"/>
                <w:lang w:eastAsia="en-GB"/>
              </w:rPr>
            </w:pPr>
            <w:r w:rsidRPr="00EC690A">
              <w:rPr>
                <w:color w:val="000000"/>
                <w:sz w:val="18"/>
                <w:szCs w:val="18"/>
                <w:lang w:eastAsia="en-GB"/>
              </w:rPr>
              <w:t> </w:t>
            </w:r>
          </w:p>
        </w:tc>
        <w:tc>
          <w:tcPr>
            <w:tcW w:w="690" w:type="pct"/>
            <w:tcBorders>
              <w:top w:val="single" w:sz="4" w:space="0" w:color="auto"/>
              <w:left w:val="nil"/>
              <w:bottom w:val="single" w:sz="4" w:space="0" w:color="auto"/>
              <w:right w:val="nil"/>
            </w:tcBorders>
            <w:shd w:val="clear" w:color="auto" w:fill="auto"/>
            <w:noWrap/>
            <w:vAlign w:val="bottom"/>
            <w:hideMark/>
          </w:tcPr>
          <w:p w14:paraId="5561CB08" w14:textId="77777777" w:rsidR="006304E8" w:rsidRPr="00703807" w:rsidRDefault="006304E8" w:rsidP="000B68BF">
            <w:pPr>
              <w:jc w:val="right"/>
              <w:rPr>
                <w:b/>
                <w:bCs/>
                <w:color w:val="000000"/>
                <w:sz w:val="18"/>
                <w:szCs w:val="18"/>
                <w:lang w:eastAsia="en-GB"/>
              </w:rPr>
            </w:pPr>
            <w:r w:rsidRPr="00703807">
              <w:rPr>
                <w:b/>
                <w:bCs/>
                <w:color w:val="000000"/>
                <w:sz w:val="18"/>
                <w:szCs w:val="18"/>
                <w:lang w:eastAsia="en-GB"/>
              </w:rPr>
              <w:t>Receivables</w:t>
            </w:r>
          </w:p>
        </w:tc>
        <w:tc>
          <w:tcPr>
            <w:tcW w:w="680" w:type="pct"/>
            <w:tcBorders>
              <w:top w:val="single" w:sz="4" w:space="0" w:color="auto"/>
              <w:left w:val="nil"/>
              <w:bottom w:val="single" w:sz="4" w:space="0" w:color="auto"/>
              <w:right w:val="nil"/>
            </w:tcBorders>
            <w:shd w:val="clear" w:color="auto" w:fill="auto"/>
            <w:noWrap/>
            <w:vAlign w:val="bottom"/>
            <w:hideMark/>
          </w:tcPr>
          <w:p w14:paraId="23B6DDF4" w14:textId="77777777" w:rsidR="006304E8" w:rsidRPr="00703807" w:rsidRDefault="006304E8" w:rsidP="000B68BF">
            <w:pPr>
              <w:jc w:val="right"/>
              <w:rPr>
                <w:b/>
                <w:bCs/>
                <w:color w:val="000000"/>
                <w:sz w:val="18"/>
                <w:szCs w:val="18"/>
                <w:lang w:eastAsia="en-GB"/>
              </w:rPr>
            </w:pPr>
            <w:r w:rsidRPr="00703807">
              <w:rPr>
                <w:b/>
                <w:bCs/>
                <w:color w:val="000000"/>
                <w:sz w:val="18"/>
                <w:szCs w:val="18"/>
                <w:lang w:eastAsia="en-GB"/>
              </w:rPr>
              <w:t>%</w:t>
            </w:r>
          </w:p>
        </w:tc>
        <w:tc>
          <w:tcPr>
            <w:tcW w:w="784" w:type="pct"/>
            <w:tcBorders>
              <w:top w:val="single" w:sz="4" w:space="0" w:color="auto"/>
              <w:left w:val="nil"/>
              <w:bottom w:val="single" w:sz="4" w:space="0" w:color="auto"/>
              <w:right w:val="nil"/>
            </w:tcBorders>
            <w:shd w:val="clear" w:color="auto" w:fill="auto"/>
            <w:noWrap/>
            <w:vAlign w:val="bottom"/>
            <w:hideMark/>
          </w:tcPr>
          <w:p w14:paraId="396DB0A2" w14:textId="77777777" w:rsidR="006304E8" w:rsidRPr="00703807" w:rsidRDefault="006304E8" w:rsidP="000B68BF">
            <w:pPr>
              <w:jc w:val="right"/>
              <w:rPr>
                <w:color w:val="000000"/>
                <w:sz w:val="18"/>
                <w:szCs w:val="18"/>
                <w:lang w:eastAsia="en-GB"/>
              </w:rPr>
            </w:pPr>
            <w:r w:rsidRPr="00703807">
              <w:rPr>
                <w:color w:val="000000"/>
                <w:sz w:val="18"/>
                <w:szCs w:val="18"/>
                <w:lang w:eastAsia="en-GB"/>
              </w:rPr>
              <w:t>Receivables</w:t>
            </w:r>
          </w:p>
        </w:tc>
        <w:tc>
          <w:tcPr>
            <w:tcW w:w="390" w:type="pct"/>
            <w:tcBorders>
              <w:top w:val="single" w:sz="4" w:space="0" w:color="auto"/>
              <w:left w:val="nil"/>
              <w:bottom w:val="single" w:sz="4" w:space="0" w:color="auto"/>
              <w:right w:val="nil"/>
            </w:tcBorders>
            <w:shd w:val="clear" w:color="auto" w:fill="auto"/>
            <w:noWrap/>
            <w:vAlign w:val="bottom"/>
            <w:hideMark/>
          </w:tcPr>
          <w:p w14:paraId="401E0C45" w14:textId="77777777" w:rsidR="006304E8" w:rsidRPr="00703807" w:rsidRDefault="006304E8" w:rsidP="000B68BF">
            <w:pPr>
              <w:jc w:val="right"/>
              <w:rPr>
                <w:color w:val="000000"/>
                <w:sz w:val="18"/>
                <w:szCs w:val="18"/>
                <w:lang w:eastAsia="en-GB"/>
              </w:rPr>
            </w:pPr>
            <w:r w:rsidRPr="00703807">
              <w:rPr>
                <w:color w:val="000000"/>
                <w:sz w:val="18"/>
                <w:szCs w:val="18"/>
                <w:lang w:eastAsia="en-GB"/>
              </w:rPr>
              <w:t>%</w:t>
            </w:r>
          </w:p>
        </w:tc>
      </w:tr>
      <w:tr w:rsidR="006304E8" w:rsidRPr="00E52F69" w14:paraId="03634023" w14:textId="77777777" w:rsidTr="00703807">
        <w:trPr>
          <w:trHeight w:val="300"/>
        </w:trPr>
        <w:tc>
          <w:tcPr>
            <w:tcW w:w="2457" w:type="pct"/>
            <w:tcBorders>
              <w:top w:val="nil"/>
              <w:left w:val="nil"/>
              <w:bottom w:val="nil"/>
              <w:right w:val="nil"/>
            </w:tcBorders>
            <w:shd w:val="clear" w:color="auto" w:fill="auto"/>
            <w:noWrap/>
            <w:vAlign w:val="bottom"/>
            <w:hideMark/>
          </w:tcPr>
          <w:p w14:paraId="710312F8" w14:textId="77777777" w:rsidR="006304E8" w:rsidRPr="00EC690A" w:rsidRDefault="006304E8" w:rsidP="000B68BF">
            <w:pPr>
              <w:rPr>
                <w:b/>
                <w:bCs/>
                <w:color w:val="000000"/>
                <w:sz w:val="18"/>
                <w:szCs w:val="18"/>
                <w:lang w:eastAsia="en-GB"/>
              </w:rPr>
            </w:pPr>
            <w:r w:rsidRPr="00EC690A">
              <w:rPr>
                <w:b/>
                <w:bCs/>
                <w:color w:val="000000"/>
                <w:sz w:val="18"/>
                <w:szCs w:val="18"/>
                <w:lang w:eastAsia="en-GB"/>
              </w:rPr>
              <w:t>Receivables from direct insurance business</w:t>
            </w:r>
          </w:p>
        </w:tc>
        <w:tc>
          <w:tcPr>
            <w:tcW w:w="690" w:type="pct"/>
            <w:tcBorders>
              <w:top w:val="nil"/>
              <w:left w:val="nil"/>
              <w:bottom w:val="nil"/>
              <w:right w:val="nil"/>
            </w:tcBorders>
            <w:shd w:val="clear" w:color="auto" w:fill="auto"/>
            <w:noWrap/>
            <w:vAlign w:val="bottom"/>
            <w:hideMark/>
          </w:tcPr>
          <w:p w14:paraId="1DFB9B33" w14:textId="77777777" w:rsidR="006304E8" w:rsidRPr="00703807" w:rsidRDefault="006304E8" w:rsidP="000B68BF">
            <w:pPr>
              <w:rPr>
                <w:b/>
                <w:bCs/>
                <w:color w:val="000000"/>
                <w:sz w:val="18"/>
                <w:szCs w:val="18"/>
                <w:lang w:eastAsia="en-GB"/>
              </w:rPr>
            </w:pPr>
          </w:p>
        </w:tc>
        <w:tc>
          <w:tcPr>
            <w:tcW w:w="680" w:type="pct"/>
            <w:tcBorders>
              <w:top w:val="nil"/>
              <w:left w:val="nil"/>
              <w:bottom w:val="nil"/>
              <w:right w:val="nil"/>
            </w:tcBorders>
            <w:shd w:val="clear" w:color="auto" w:fill="auto"/>
            <w:noWrap/>
            <w:vAlign w:val="bottom"/>
            <w:hideMark/>
          </w:tcPr>
          <w:p w14:paraId="587DA49B" w14:textId="77777777" w:rsidR="006304E8" w:rsidRPr="00703807" w:rsidRDefault="006304E8" w:rsidP="000B68BF">
            <w:pPr>
              <w:rPr>
                <w:b/>
                <w:bCs/>
                <w:color w:val="000000"/>
                <w:sz w:val="18"/>
                <w:szCs w:val="18"/>
                <w:lang w:eastAsia="en-GB"/>
              </w:rPr>
            </w:pPr>
          </w:p>
        </w:tc>
        <w:tc>
          <w:tcPr>
            <w:tcW w:w="784" w:type="pct"/>
            <w:tcBorders>
              <w:top w:val="nil"/>
              <w:left w:val="nil"/>
              <w:bottom w:val="nil"/>
              <w:right w:val="nil"/>
            </w:tcBorders>
            <w:shd w:val="clear" w:color="auto" w:fill="auto"/>
            <w:noWrap/>
            <w:vAlign w:val="bottom"/>
            <w:hideMark/>
          </w:tcPr>
          <w:p w14:paraId="6720A72C" w14:textId="77777777" w:rsidR="006304E8" w:rsidRPr="00703807" w:rsidRDefault="006304E8" w:rsidP="000B68BF">
            <w:pPr>
              <w:rPr>
                <w:color w:val="000000"/>
                <w:sz w:val="18"/>
                <w:szCs w:val="18"/>
                <w:lang w:eastAsia="en-GB"/>
              </w:rPr>
            </w:pPr>
          </w:p>
        </w:tc>
        <w:tc>
          <w:tcPr>
            <w:tcW w:w="390" w:type="pct"/>
            <w:tcBorders>
              <w:top w:val="nil"/>
              <w:left w:val="nil"/>
              <w:bottom w:val="nil"/>
              <w:right w:val="nil"/>
            </w:tcBorders>
            <w:shd w:val="clear" w:color="auto" w:fill="auto"/>
            <w:noWrap/>
            <w:vAlign w:val="bottom"/>
            <w:hideMark/>
          </w:tcPr>
          <w:p w14:paraId="6ABA2D28" w14:textId="77777777" w:rsidR="006304E8" w:rsidRPr="00703807" w:rsidRDefault="006304E8" w:rsidP="000B68BF">
            <w:pPr>
              <w:rPr>
                <w:color w:val="000000"/>
                <w:sz w:val="18"/>
                <w:szCs w:val="18"/>
                <w:lang w:eastAsia="en-GB"/>
              </w:rPr>
            </w:pPr>
          </w:p>
        </w:tc>
      </w:tr>
      <w:tr w:rsidR="006304E8" w:rsidRPr="00EC690A" w14:paraId="29F2E8F4" w14:textId="77777777" w:rsidTr="00703807">
        <w:trPr>
          <w:trHeight w:val="300"/>
        </w:trPr>
        <w:tc>
          <w:tcPr>
            <w:tcW w:w="2457" w:type="pct"/>
            <w:tcBorders>
              <w:top w:val="nil"/>
              <w:left w:val="nil"/>
              <w:bottom w:val="nil"/>
              <w:right w:val="nil"/>
            </w:tcBorders>
            <w:shd w:val="clear" w:color="auto" w:fill="auto"/>
            <w:noWrap/>
            <w:vAlign w:val="bottom"/>
            <w:hideMark/>
          </w:tcPr>
          <w:p w14:paraId="11A021B6" w14:textId="77777777" w:rsidR="006304E8" w:rsidRPr="00EC690A" w:rsidRDefault="006304E8" w:rsidP="000B68BF">
            <w:pPr>
              <w:rPr>
                <w:color w:val="000000"/>
                <w:sz w:val="18"/>
                <w:szCs w:val="18"/>
                <w:lang w:val="en-US" w:eastAsia="en-GB"/>
              </w:rPr>
            </w:pPr>
            <w:r w:rsidRPr="00EC690A">
              <w:rPr>
                <w:color w:val="000000"/>
                <w:sz w:val="18"/>
                <w:szCs w:val="18"/>
              </w:rPr>
              <w:t>BP Exploration</w:t>
            </w:r>
            <w:r w:rsidRPr="00EC690A">
              <w:rPr>
                <w:color w:val="000000"/>
                <w:sz w:val="18"/>
                <w:szCs w:val="18"/>
                <w:lang w:val="en-US"/>
              </w:rPr>
              <w:t xml:space="preserve"> (Azerbaijan) Limited</w:t>
            </w:r>
          </w:p>
        </w:tc>
        <w:tc>
          <w:tcPr>
            <w:tcW w:w="690" w:type="pct"/>
            <w:tcBorders>
              <w:top w:val="nil"/>
              <w:left w:val="nil"/>
              <w:bottom w:val="nil"/>
              <w:right w:val="nil"/>
            </w:tcBorders>
            <w:shd w:val="clear" w:color="auto" w:fill="auto"/>
            <w:noWrap/>
            <w:vAlign w:val="bottom"/>
          </w:tcPr>
          <w:p w14:paraId="4739EFED" w14:textId="53AC3B7C" w:rsidR="006304E8" w:rsidRPr="00703807" w:rsidRDefault="00DD648A" w:rsidP="000B68BF">
            <w:pPr>
              <w:jc w:val="right"/>
              <w:rPr>
                <w:b/>
                <w:bCs/>
                <w:color w:val="000000"/>
                <w:sz w:val="18"/>
                <w:szCs w:val="18"/>
                <w:lang w:eastAsia="en-GB"/>
              </w:rPr>
            </w:pPr>
            <w:r w:rsidRPr="00703807">
              <w:rPr>
                <w:b/>
                <w:bCs/>
                <w:color w:val="000000"/>
                <w:sz w:val="18"/>
                <w:szCs w:val="18"/>
                <w:lang w:eastAsia="en-GB"/>
              </w:rPr>
              <w:t>266,119</w:t>
            </w:r>
          </w:p>
        </w:tc>
        <w:tc>
          <w:tcPr>
            <w:tcW w:w="680" w:type="pct"/>
            <w:tcBorders>
              <w:top w:val="nil"/>
              <w:left w:val="nil"/>
              <w:bottom w:val="nil"/>
              <w:right w:val="nil"/>
            </w:tcBorders>
            <w:shd w:val="clear" w:color="auto" w:fill="auto"/>
            <w:noWrap/>
            <w:vAlign w:val="bottom"/>
          </w:tcPr>
          <w:p w14:paraId="14B62267" w14:textId="16B55B0E" w:rsidR="006304E8" w:rsidRPr="00703807" w:rsidRDefault="00DD648A" w:rsidP="000B68BF">
            <w:pPr>
              <w:jc w:val="right"/>
              <w:rPr>
                <w:b/>
                <w:bCs/>
                <w:color w:val="000000"/>
                <w:sz w:val="18"/>
                <w:szCs w:val="18"/>
                <w:lang w:eastAsia="en-GB"/>
              </w:rPr>
            </w:pPr>
            <w:r w:rsidRPr="00703807">
              <w:rPr>
                <w:b/>
                <w:bCs/>
                <w:color w:val="000000"/>
                <w:sz w:val="18"/>
                <w:szCs w:val="18"/>
                <w:lang w:eastAsia="en-GB"/>
              </w:rPr>
              <w:t>21%</w:t>
            </w:r>
          </w:p>
        </w:tc>
        <w:tc>
          <w:tcPr>
            <w:tcW w:w="784" w:type="pct"/>
            <w:tcBorders>
              <w:top w:val="nil"/>
              <w:left w:val="nil"/>
              <w:bottom w:val="nil"/>
              <w:right w:val="nil"/>
            </w:tcBorders>
            <w:shd w:val="clear" w:color="auto" w:fill="auto"/>
            <w:noWrap/>
            <w:vAlign w:val="bottom"/>
          </w:tcPr>
          <w:p w14:paraId="2A5291F3" w14:textId="024DEAAF" w:rsidR="006304E8" w:rsidRPr="00703807" w:rsidRDefault="006304E8" w:rsidP="000B68BF">
            <w:pPr>
              <w:jc w:val="right"/>
              <w:rPr>
                <w:color w:val="000000"/>
                <w:sz w:val="18"/>
                <w:szCs w:val="18"/>
              </w:rPr>
            </w:pPr>
            <w:r w:rsidRPr="00703807">
              <w:rPr>
                <w:color w:val="000000"/>
                <w:sz w:val="18"/>
                <w:szCs w:val="18"/>
              </w:rPr>
              <w:t>5,250,258</w:t>
            </w:r>
          </w:p>
        </w:tc>
        <w:tc>
          <w:tcPr>
            <w:tcW w:w="390" w:type="pct"/>
            <w:tcBorders>
              <w:top w:val="nil"/>
              <w:left w:val="nil"/>
              <w:bottom w:val="nil"/>
              <w:right w:val="nil"/>
            </w:tcBorders>
            <w:shd w:val="clear" w:color="auto" w:fill="auto"/>
            <w:noWrap/>
            <w:vAlign w:val="bottom"/>
          </w:tcPr>
          <w:p w14:paraId="3CB5EA86" w14:textId="04056EB1" w:rsidR="006304E8" w:rsidRPr="00703807" w:rsidRDefault="006304E8" w:rsidP="000B68BF">
            <w:pPr>
              <w:jc w:val="right"/>
              <w:rPr>
                <w:color w:val="000000"/>
                <w:sz w:val="18"/>
                <w:szCs w:val="18"/>
                <w:lang w:eastAsia="en-GB"/>
              </w:rPr>
            </w:pPr>
            <w:r w:rsidRPr="00703807">
              <w:rPr>
                <w:color w:val="000000"/>
                <w:sz w:val="18"/>
                <w:szCs w:val="18"/>
                <w:lang w:eastAsia="en-GB"/>
              </w:rPr>
              <w:t>8</w:t>
            </w:r>
            <w:r w:rsidR="00DD648A" w:rsidRPr="00703807">
              <w:rPr>
                <w:color w:val="000000"/>
                <w:sz w:val="18"/>
                <w:szCs w:val="18"/>
                <w:lang w:eastAsia="en-GB"/>
              </w:rPr>
              <w:t>0</w:t>
            </w:r>
            <w:r w:rsidRPr="00703807">
              <w:rPr>
                <w:color w:val="000000"/>
                <w:sz w:val="18"/>
                <w:szCs w:val="18"/>
                <w:lang w:eastAsia="en-GB"/>
              </w:rPr>
              <w:t>%</w:t>
            </w:r>
          </w:p>
        </w:tc>
      </w:tr>
      <w:tr w:rsidR="006304E8" w:rsidRPr="00EC690A" w14:paraId="296307E4" w14:textId="77777777" w:rsidTr="00703807">
        <w:trPr>
          <w:trHeight w:val="300"/>
        </w:trPr>
        <w:tc>
          <w:tcPr>
            <w:tcW w:w="2457" w:type="pct"/>
            <w:tcBorders>
              <w:top w:val="nil"/>
              <w:left w:val="nil"/>
              <w:bottom w:val="nil"/>
              <w:right w:val="nil"/>
            </w:tcBorders>
            <w:shd w:val="clear" w:color="auto" w:fill="auto"/>
            <w:noWrap/>
            <w:vAlign w:val="bottom"/>
          </w:tcPr>
          <w:p w14:paraId="35611B6F" w14:textId="5E37F21D" w:rsidR="006304E8" w:rsidRPr="00EC690A" w:rsidRDefault="006304E8" w:rsidP="000B68BF">
            <w:pPr>
              <w:rPr>
                <w:color w:val="000000"/>
                <w:sz w:val="18"/>
                <w:szCs w:val="18"/>
              </w:rPr>
            </w:pPr>
            <w:r>
              <w:rPr>
                <w:color w:val="000000"/>
                <w:sz w:val="18"/>
                <w:szCs w:val="18"/>
              </w:rPr>
              <w:t>SOCAQ AQS</w:t>
            </w:r>
          </w:p>
        </w:tc>
        <w:tc>
          <w:tcPr>
            <w:tcW w:w="690" w:type="pct"/>
            <w:tcBorders>
              <w:top w:val="nil"/>
              <w:left w:val="nil"/>
              <w:bottom w:val="nil"/>
              <w:right w:val="nil"/>
            </w:tcBorders>
            <w:shd w:val="clear" w:color="auto" w:fill="auto"/>
            <w:noWrap/>
            <w:vAlign w:val="bottom"/>
          </w:tcPr>
          <w:p w14:paraId="69664C5C" w14:textId="2279B702" w:rsidR="006304E8" w:rsidRPr="00703807" w:rsidRDefault="00DD648A" w:rsidP="000B68BF">
            <w:pPr>
              <w:jc w:val="right"/>
              <w:rPr>
                <w:b/>
                <w:bCs/>
                <w:color w:val="000000"/>
                <w:sz w:val="18"/>
                <w:szCs w:val="18"/>
              </w:rPr>
            </w:pPr>
            <w:r w:rsidRPr="00703807">
              <w:rPr>
                <w:b/>
                <w:bCs/>
                <w:color w:val="000000"/>
                <w:sz w:val="18"/>
                <w:szCs w:val="18"/>
              </w:rPr>
              <w:t>123,291</w:t>
            </w:r>
          </w:p>
        </w:tc>
        <w:tc>
          <w:tcPr>
            <w:tcW w:w="680" w:type="pct"/>
            <w:tcBorders>
              <w:top w:val="nil"/>
              <w:left w:val="nil"/>
              <w:bottom w:val="nil"/>
              <w:right w:val="nil"/>
            </w:tcBorders>
            <w:shd w:val="clear" w:color="auto" w:fill="auto"/>
            <w:noWrap/>
            <w:vAlign w:val="bottom"/>
          </w:tcPr>
          <w:p w14:paraId="148C59DD" w14:textId="6574E10F" w:rsidR="006304E8" w:rsidRPr="00703807" w:rsidRDefault="00DD648A" w:rsidP="000B68BF">
            <w:pPr>
              <w:jc w:val="right"/>
              <w:rPr>
                <w:b/>
                <w:bCs/>
                <w:color w:val="000000"/>
                <w:sz w:val="18"/>
                <w:szCs w:val="18"/>
              </w:rPr>
            </w:pPr>
            <w:r w:rsidRPr="00703807">
              <w:rPr>
                <w:b/>
                <w:bCs/>
                <w:color w:val="000000"/>
                <w:sz w:val="18"/>
                <w:szCs w:val="18"/>
              </w:rPr>
              <w:t>10%</w:t>
            </w:r>
          </w:p>
        </w:tc>
        <w:tc>
          <w:tcPr>
            <w:tcW w:w="784" w:type="pct"/>
            <w:tcBorders>
              <w:top w:val="nil"/>
              <w:left w:val="nil"/>
              <w:bottom w:val="nil"/>
              <w:right w:val="nil"/>
            </w:tcBorders>
            <w:shd w:val="clear" w:color="auto" w:fill="auto"/>
            <w:noWrap/>
            <w:vAlign w:val="bottom"/>
          </w:tcPr>
          <w:p w14:paraId="67603119" w14:textId="1A107E91" w:rsidR="006304E8" w:rsidRPr="00703807" w:rsidRDefault="006304E8" w:rsidP="000B68BF">
            <w:pPr>
              <w:jc w:val="right"/>
              <w:rPr>
                <w:color w:val="000000"/>
                <w:sz w:val="18"/>
                <w:szCs w:val="18"/>
              </w:rPr>
            </w:pPr>
            <w:r w:rsidRPr="00703807">
              <w:rPr>
                <w:color w:val="000000"/>
                <w:sz w:val="18"/>
                <w:szCs w:val="18"/>
              </w:rPr>
              <w:t>371,005</w:t>
            </w:r>
          </w:p>
        </w:tc>
        <w:tc>
          <w:tcPr>
            <w:tcW w:w="390" w:type="pct"/>
            <w:tcBorders>
              <w:top w:val="nil"/>
              <w:left w:val="nil"/>
              <w:bottom w:val="nil"/>
              <w:right w:val="nil"/>
            </w:tcBorders>
            <w:shd w:val="clear" w:color="auto" w:fill="auto"/>
            <w:noWrap/>
            <w:vAlign w:val="bottom"/>
          </w:tcPr>
          <w:p w14:paraId="704886A9" w14:textId="04F292A5" w:rsidR="006304E8" w:rsidRPr="00703807" w:rsidRDefault="00DD648A" w:rsidP="000B68BF">
            <w:pPr>
              <w:jc w:val="right"/>
              <w:rPr>
                <w:color w:val="000000"/>
                <w:sz w:val="18"/>
                <w:szCs w:val="18"/>
              </w:rPr>
            </w:pPr>
            <w:r w:rsidRPr="00703807">
              <w:rPr>
                <w:color w:val="000000"/>
                <w:sz w:val="18"/>
                <w:szCs w:val="18"/>
              </w:rPr>
              <w:t>6</w:t>
            </w:r>
            <w:r w:rsidR="006304E8" w:rsidRPr="00703807">
              <w:rPr>
                <w:color w:val="000000"/>
                <w:sz w:val="18"/>
                <w:szCs w:val="18"/>
              </w:rPr>
              <w:t>%</w:t>
            </w:r>
          </w:p>
        </w:tc>
      </w:tr>
      <w:tr w:rsidR="00DD648A" w:rsidRPr="00EC690A" w14:paraId="079BEA38" w14:textId="77777777" w:rsidTr="00703807">
        <w:trPr>
          <w:trHeight w:val="300"/>
        </w:trPr>
        <w:tc>
          <w:tcPr>
            <w:tcW w:w="2457" w:type="pct"/>
            <w:tcBorders>
              <w:top w:val="nil"/>
              <w:left w:val="nil"/>
              <w:bottom w:val="nil"/>
              <w:right w:val="nil"/>
            </w:tcBorders>
            <w:shd w:val="clear" w:color="auto" w:fill="auto"/>
            <w:noWrap/>
            <w:vAlign w:val="bottom"/>
          </w:tcPr>
          <w:p w14:paraId="49CC1513" w14:textId="141F6BD3" w:rsidR="00DD648A" w:rsidRDefault="00DD648A" w:rsidP="000B68BF">
            <w:pPr>
              <w:rPr>
                <w:color w:val="000000"/>
                <w:sz w:val="18"/>
                <w:szCs w:val="18"/>
              </w:rPr>
            </w:pPr>
            <w:proofErr w:type="spellStart"/>
            <w:r w:rsidRPr="00DD648A">
              <w:rPr>
                <w:color w:val="000000"/>
                <w:sz w:val="18"/>
                <w:szCs w:val="18"/>
              </w:rPr>
              <w:t>Somitomo</w:t>
            </w:r>
            <w:proofErr w:type="spellEnd"/>
            <w:r w:rsidRPr="00DD648A">
              <w:rPr>
                <w:color w:val="000000"/>
                <w:sz w:val="18"/>
                <w:szCs w:val="18"/>
              </w:rPr>
              <w:t xml:space="preserve"> Corporation Europe Limited</w:t>
            </w:r>
          </w:p>
        </w:tc>
        <w:tc>
          <w:tcPr>
            <w:tcW w:w="690" w:type="pct"/>
            <w:tcBorders>
              <w:top w:val="nil"/>
              <w:left w:val="nil"/>
              <w:bottom w:val="nil"/>
              <w:right w:val="nil"/>
            </w:tcBorders>
            <w:shd w:val="clear" w:color="auto" w:fill="auto"/>
            <w:noWrap/>
            <w:vAlign w:val="bottom"/>
          </w:tcPr>
          <w:p w14:paraId="35515817" w14:textId="7AE25E13" w:rsidR="00DD648A" w:rsidRPr="00703807" w:rsidRDefault="00DD648A" w:rsidP="000B68BF">
            <w:pPr>
              <w:jc w:val="right"/>
              <w:rPr>
                <w:b/>
                <w:bCs/>
                <w:color w:val="000000"/>
                <w:sz w:val="18"/>
                <w:szCs w:val="18"/>
              </w:rPr>
            </w:pPr>
            <w:r w:rsidRPr="00703807">
              <w:rPr>
                <w:b/>
                <w:bCs/>
                <w:color w:val="000000"/>
                <w:sz w:val="18"/>
                <w:szCs w:val="18"/>
              </w:rPr>
              <w:t>93,480</w:t>
            </w:r>
          </w:p>
        </w:tc>
        <w:tc>
          <w:tcPr>
            <w:tcW w:w="680" w:type="pct"/>
            <w:tcBorders>
              <w:top w:val="nil"/>
              <w:left w:val="nil"/>
              <w:bottom w:val="nil"/>
              <w:right w:val="nil"/>
            </w:tcBorders>
            <w:shd w:val="clear" w:color="auto" w:fill="auto"/>
            <w:noWrap/>
            <w:vAlign w:val="bottom"/>
          </w:tcPr>
          <w:p w14:paraId="0CAD2A33" w14:textId="04E8BAA1" w:rsidR="00DD648A" w:rsidRPr="00703807" w:rsidRDefault="00DD648A" w:rsidP="000B68BF">
            <w:pPr>
              <w:jc w:val="right"/>
              <w:rPr>
                <w:b/>
                <w:bCs/>
                <w:color w:val="000000"/>
                <w:sz w:val="18"/>
                <w:szCs w:val="18"/>
              </w:rPr>
            </w:pPr>
            <w:r w:rsidRPr="00703807">
              <w:rPr>
                <w:b/>
                <w:bCs/>
                <w:color w:val="000000"/>
                <w:sz w:val="18"/>
                <w:szCs w:val="18"/>
              </w:rPr>
              <w:t>7%</w:t>
            </w:r>
          </w:p>
        </w:tc>
        <w:tc>
          <w:tcPr>
            <w:tcW w:w="784" w:type="pct"/>
            <w:tcBorders>
              <w:top w:val="nil"/>
              <w:left w:val="nil"/>
              <w:bottom w:val="nil"/>
              <w:right w:val="nil"/>
            </w:tcBorders>
            <w:shd w:val="clear" w:color="auto" w:fill="auto"/>
            <w:noWrap/>
            <w:vAlign w:val="bottom"/>
          </w:tcPr>
          <w:p w14:paraId="6A3890B6" w14:textId="7AD9550E" w:rsidR="00DD648A" w:rsidRPr="00703807" w:rsidRDefault="00DD648A" w:rsidP="000B68BF">
            <w:pPr>
              <w:jc w:val="right"/>
              <w:rPr>
                <w:color w:val="000000"/>
                <w:sz w:val="18"/>
                <w:szCs w:val="18"/>
              </w:rPr>
            </w:pPr>
            <w:r w:rsidRPr="00703807">
              <w:rPr>
                <w:color w:val="000000"/>
                <w:sz w:val="18"/>
                <w:szCs w:val="18"/>
              </w:rPr>
              <w:t>-</w:t>
            </w:r>
          </w:p>
        </w:tc>
        <w:tc>
          <w:tcPr>
            <w:tcW w:w="390" w:type="pct"/>
            <w:tcBorders>
              <w:top w:val="nil"/>
              <w:left w:val="nil"/>
              <w:bottom w:val="nil"/>
              <w:right w:val="nil"/>
            </w:tcBorders>
            <w:shd w:val="clear" w:color="auto" w:fill="auto"/>
            <w:noWrap/>
            <w:vAlign w:val="bottom"/>
          </w:tcPr>
          <w:p w14:paraId="17147A13" w14:textId="7EA100A7" w:rsidR="00DD648A" w:rsidRPr="00703807" w:rsidRDefault="00DD648A" w:rsidP="000B68BF">
            <w:pPr>
              <w:jc w:val="right"/>
              <w:rPr>
                <w:color w:val="000000"/>
                <w:sz w:val="18"/>
                <w:szCs w:val="18"/>
              </w:rPr>
            </w:pPr>
            <w:r w:rsidRPr="00703807">
              <w:rPr>
                <w:color w:val="000000"/>
                <w:sz w:val="18"/>
                <w:szCs w:val="18"/>
              </w:rPr>
              <w:t>-</w:t>
            </w:r>
          </w:p>
        </w:tc>
      </w:tr>
      <w:tr w:rsidR="00DD648A" w:rsidRPr="00EC690A" w14:paraId="02CECA81" w14:textId="77777777" w:rsidTr="00703807">
        <w:trPr>
          <w:trHeight w:val="300"/>
        </w:trPr>
        <w:tc>
          <w:tcPr>
            <w:tcW w:w="2457" w:type="pct"/>
            <w:tcBorders>
              <w:top w:val="nil"/>
              <w:left w:val="nil"/>
              <w:bottom w:val="nil"/>
              <w:right w:val="nil"/>
            </w:tcBorders>
            <w:shd w:val="clear" w:color="auto" w:fill="auto"/>
            <w:noWrap/>
            <w:vAlign w:val="bottom"/>
          </w:tcPr>
          <w:p w14:paraId="59EE281F" w14:textId="22D3D835" w:rsidR="00DD648A" w:rsidRDefault="00DD648A" w:rsidP="000B68BF">
            <w:pPr>
              <w:rPr>
                <w:color w:val="000000"/>
                <w:sz w:val="18"/>
                <w:szCs w:val="18"/>
              </w:rPr>
            </w:pPr>
            <w:proofErr w:type="spellStart"/>
            <w:r w:rsidRPr="00DD648A">
              <w:rPr>
                <w:color w:val="000000"/>
                <w:sz w:val="18"/>
                <w:szCs w:val="18"/>
              </w:rPr>
              <w:t>Azerbaycan</w:t>
            </w:r>
            <w:proofErr w:type="spellEnd"/>
            <w:r w:rsidRPr="00DD648A">
              <w:rPr>
                <w:color w:val="000000"/>
                <w:sz w:val="18"/>
                <w:szCs w:val="18"/>
              </w:rPr>
              <w:t xml:space="preserve"> </w:t>
            </w:r>
            <w:proofErr w:type="spellStart"/>
            <w:r w:rsidRPr="00DD648A">
              <w:rPr>
                <w:color w:val="000000"/>
                <w:sz w:val="18"/>
                <w:szCs w:val="18"/>
              </w:rPr>
              <w:t>Koka</w:t>
            </w:r>
            <w:proofErr w:type="spellEnd"/>
            <w:r w:rsidRPr="00DD648A">
              <w:rPr>
                <w:color w:val="000000"/>
                <w:sz w:val="18"/>
                <w:szCs w:val="18"/>
              </w:rPr>
              <w:t>-Kola Bottlers Ltd MMC</w:t>
            </w:r>
          </w:p>
        </w:tc>
        <w:tc>
          <w:tcPr>
            <w:tcW w:w="690" w:type="pct"/>
            <w:tcBorders>
              <w:top w:val="nil"/>
              <w:left w:val="nil"/>
              <w:bottom w:val="nil"/>
              <w:right w:val="nil"/>
            </w:tcBorders>
            <w:shd w:val="clear" w:color="auto" w:fill="auto"/>
            <w:noWrap/>
            <w:vAlign w:val="bottom"/>
          </w:tcPr>
          <w:p w14:paraId="20861437" w14:textId="56907AAA" w:rsidR="00DD648A" w:rsidRPr="00703807" w:rsidRDefault="00DD648A" w:rsidP="000B68BF">
            <w:pPr>
              <w:jc w:val="right"/>
              <w:rPr>
                <w:b/>
                <w:bCs/>
                <w:color w:val="000000"/>
                <w:sz w:val="18"/>
                <w:szCs w:val="18"/>
              </w:rPr>
            </w:pPr>
            <w:r w:rsidRPr="00703807">
              <w:rPr>
                <w:b/>
                <w:bCs/>
                <w:color w:val="000000"/>
                <w:sz w:val="18"/>
                <w:szCs w:val="18"/>
              </w:rPr>
              <w:t>79,020</w:t>
            </w:r>
          </w:p>
        </w:tc>
        <w:tc>
          <w:tcPr>
            <w:tcW w:w="680" w:type="pct"/>
            <w:tcBorders>
              <w:top w:val="nil"/>
              <w:left w:val="nil"/>
              <w:bottom w:val="nil"/>
              <w:right w:val="nil"/>
            </w:tcBorders>
            <w:shd w:val="clear" w:color="auto" w:fill="auto"/>
            <w:noWrap/>
            <w:vAlign w:val="bottom"/>
          </w:tcPr>
          <w:p w14:paraId="52C24B7C" w14:textId="4F11D9B2" w:rsidR="00DD648A" w:rsidRPr="00703807" w:rsidRDefault="00DD648A" w:rsidP="000B68BF">
            <w:pPr>
              <w:jc w:val="right"/>
              <w:rPr>
                <w:b/>
                <w:bCs/>
                <w:color w:val="000000"/>
                <w:sz w:val="18"/>
                <w:szCs w:val="18"/>
              </w:rPr>
            </w:pPr>
            <w:r w:rsidRPr="00703807">
              <w:rPr>
                <w:b/>
                <w:bCs/>
                <w:color w:val="000000"/>
                <w:sz w:val="18"/>
                <w:szCs w:val="18"/>
              </w:rPr>
              <w:t>6%</w:t>
            </w:r>
          </w:p>
        </w:tc>
        <w:tc>
          <w:tcPr>
            <w:tcW w:w="784" w:type="pct"/>
            <w:tcBorders>
              <w:top w:val="nil"/>
              <w:left w:val="nil"/>
              <w:bottom w:val="nil"/>
              <w:right w:val="nil"/>
            </w:tcBorders>
            <w:shd w:val="clear" w:color="auto" w:fill="auto"/>
            <w:noWrap/>
            <w:vAlign w:val="bottom"/>
          </w:tcPr>
          <w:p w14:paraId="02D6B528" w14:textId="01A30F91" w:rsidR="00DD648A" w:rsidRPr="00703807" w:rsidRDefault="00DD648A" w:rsidP="000B68BF">
            <w:pPr>
              <w:jc w:val="right"/>
              <w:rPr>
                <w:color w:val="000000"/>
                <w:sz w:val="18"/>
                <w:szCs w:val="18"/>
              </w:rPr>
            </w:pPr>
            <w:r w:rsidRPr="00703807">
              <w:rPr>
                <w:color w:val="000000"/>
                <w:sz w:val="18"/>
                <w:szCs w:val="18"/>
              </w:rPr>
              <w:t>-</w:t>
            </w:r>
          </w:p>
        </w:tc>
        <w:tc>
          <w:tcPr>
            <w:tcW w:w="390" w:type="pct"/>
            <w:tcBorders>
              <w:top w:val="nil"/>
              <w:left w:val="nil"/>
              <w:bottom w:val="nil"/>
              <w:right w:val="nil"/>
            </w:tcBorders>
            <w:shd w:val="clear" w:color="auto" w:fill="auto"/>
            <w:noWrap/>
            <w:vAlign w:val="bottom"/>
          </w:tcPr>
          <w:p w14:paraId="01F08299" w14:textId="6798DBC1" w:rsidR="00DD648A" w:rsidRPr="00703807" w:rsidRDefault="00DD648A" w:rsidP="000B68BF">
            <w:pPr>
              <w:jc w:val="right"/>
              <w:rPr>
                <w:color w:val="000000"/>
                <w:sz w:val="18"/>
                <w:szCs w:val="18"/>
              </w:rPr>
            </w:pPr>
            <w:r w:rsidRPr="00703807">
              <w:rPr>
                <w:color w:val="000000"/>
                <w:sz w:val="18"/>
                <w:szCs w:val="18"/>
              </w:rPr>
              <w:t>-</w:t>
            </w:r>
          </w:p>
        </w:tc>
      </w:tr>
      <w:tr w:rsidR="00DD648A" w:rsidRPr="00EC690A" w14:paraId="5FFE6CDD" w14:textId="77777777" w:rsidTr="00703807">
        <w:trPr>
          <w:trHeight w:val="300"/>
        </w:trPr>
        <w:tc>
          <w:tcPr>
            <w:tcW w:w="2457" w:type="pct"/>
            <w:tcBorders>
              <w:top w:val="nil"/>
              <w:left w:val="nil"/>
              <w:bottom w:val="nil"/>
              <w:right w:val="nil"/>
            </w:tcBorders>
            <w:shd w:val="clear" w:color="auto" w:fill="auto"/>
            <w:noWrap/>
            <w:vAlign w:val="bottom"/>
          </w:tcPr>
          <w:p w14:paraId="1F125DD5" w14:textId="1AAD67BF" w:rsidR="00DD648A" w:rsidRDefault="00DD648A" w:rsidP="000B68BF">
            <w:pPr>
              <w:rPr>
                <w:color w:val="000000"/>
                <w:sz w:val="18"/>
                <w:szCs w:val="18"/>
              </w:rPr>
            </w:pPr>
            <w:proofErr w:type="spellStart"/>
            <w:r w:rsidRPr="00DD648A">
              <w:rPr>
                <w:color w:val="000000"/>
                <w:sz w:val="18"/>
                <w:szCs w:val="18"/>
              </w:rPr>
              <w:t>Weus</w:t>
            </w:r>
            <w:proofErr w:type="spellEnd"/>
            <w:r w:rsidRPr="00DD648A">
              <w:rPr>
                <w:color w:val="000000"/>
                <w:sz w:val="18"/>
                <w:szCs w:val="18"/>
              </w:rPr>
              <w:t xml:space="preserve"> Holding LLC Azerbaijan branch</w:t>
            </w:r>
          </w:p>
        </w:tc>
        <w:tc>
          <w:tcPr>
            <w:tcW w:w="690" w:type="pct"/>
            <w:tcBorders>
              <w:top w:val="nil"/>
              <w:left w:val="nil"/>
              <w:bottom w:val="nil"/>
              <w:right w:val="nil"/>
            </w:tcBorders>
            <w:shd w:val="clear" w:color="auto" w:fill="auto"/>
            <w:noWrap/>
            <w:vAlign w:val="bottom"/>
          </w:tcPr>
          <w:p w14:paraId="1EA68A19" w14:textId="6CD701CB" w:rsidR="00DD648A" w:rsidRPr="00703807" w:rsidRDefault="00DD648A" w:rsidP="000B68BF">
            <w:pPr>
              <w:jc w:val="right"/>
              <w:rPr>
                <w:b/>
                <w:bCs/>
                <w:color w:val="000000"/>
                <w:sz w:val="18"/>
                <w:szCs w:val="18"/>
              </w:rPr>
            </w:pPr>
            <w:r w:rsidRPr="00703807">
              <w:rPr>
                <w:b/>
                <w:bCs/>
                <w:color w:val="000000"/>
                <w:sz w:val="18"/>
                <w:szCs w:val="18"/>
              </w:rPr>
              <w:t>10,694</w:t>
            </w:r>
          </w:p>
        </w:tc>
        <w:tc>
          <w:tcPr>
            <w:tcW w:w="680" w:type="pct"/>
            <w:tcBorders>
              <w:top w:val="nil"/>
              <w:left w:val="nil"/>
              <w:bottom w:val="nil"/>
              <w:right w:val="nil"/>
            </w:tcBorders>
            <w:shd w:val="clear" w:color="auto" w:fill="auto"/>
            <w:noWrap/>
            <w:vAlign w:val="bottom"/>
          </w:tcPr>
          <w:p w14:paraId="760CB320" w14:textId="58CB0207" w:rsidR="00DD648A" w:rsidRPr="00703807" w:rsidRDefault="00DD648A" w:rsidP="000B68BF">
            <w:pPr>
              <w:jc w:val="right"/>
              <w:rPr>
                <w:b/>
                <w:bCs/>
                <w:color w:val="000000"/>
                <w:sz w:val="18"/>
                <w:szCs w:val="18"/>
              </w:rPr>
            </w:pPr>
            <w:r w:rsidRPr="00703807">
              <w:rPr>
                <w:b/>
                <w:bCs/>
                <w:color w:val="000000"/>
                <w:sz w:val="18"/>
                <w:szCs w:val="18"/>
              </w:rPr>
              <w:t>1%</w:t>
            </w:r>
          </w:p>
        </w:tc>
        <w:tc>
          <w:tcPr>
            <w:tcW w:w="784" w:type="pct"/>
            <w:tcBorders>
              <w:top w:val="nil"/>
              <w:left w:val="nil"/>
              <w:bottom w:val="nil"/>
              <w:right w:val="nil"/>
            </w:tcBorders>
            <w:shd w:val="clear" w:color="auto" w:fill="auto"/>
            <w:noWrap/>
            <w:vAlign w:val="bottom"/>
          </w:tcPr>
          <w:p w14:paraId="6040CEDB" w14:textId="71FD7071" w:rsidR="00DD648A" w:rsidRPr="00703807" w:rsidRDefault="00DD648A" w:rsidP="000B68BF">
            <w:pPr>
              <w:jc w:val="right"/>
              <w:rPr>
                <w:color w:val="000000"/>
                <w:sz w:val="18"/>
                <w:szCs w:val="18"/>
              </w:rPr>
            </w:pPr>
            <w:r w:rsidRPr="00703807">
              <w:rPr>
                <w:color w:val="000000"/>
                <w:sz w:val="18"/>
                <w:szCs w:val="18"/>
              </w:rPr>
              <w:t>107,922</w:t>
            </w:r>
          </w:p>
        </w:tc>
        <w:tc>
          <w:tcPr>
            <w:tcW w:w="390" w:type="pct"/>
            <w:tcBorders>
              <w:top w:val="nil"/>
              <w:left w:val="nil"/>
              <w:bottom w:val="nil"/>
              <w:right w:val="nil"/>
            </w:tcBorders>
            <w:shd w:val="clear" w:color="auto" w:fill="auto"/>
            <w:noWrap/>
            <w:vAlign w:val="bottom"/>
          </w:tcPr>
          <w:p w14:paraId="314C87B1" w14:textId="10B042B6" w:rsidR="00DD648A" w:rsidRPr="00703807" w:rsidRDefault="00DD648A" w:rsidP="000B68BF">
            <w:pPr>
              <w:jc w:val="right"/>
              <w:rPr>
                <w:color w:val="000000"/>
                <w:sz w:val="18"/>
                <w:szCs w:val="18"/>
              </w:rPr>
            </w:pPr>
            <w:r w:rsidRPr="00703807">
              <w:rPr>
                <w:color w:val="000000"/>
                <w:sz w:val="18"/>
                <w:szCs w:val="18"/>
              </w:rPr>
              <w:t>2%</w:t>
            </w:r>
          </w:p>
        </w:tc>
      </w:tr>
      <w:tr w:rsidR="006304E8" w:rsidRPr="00EC690A" w14:paraId="09E1C5A3" w14:textId="77777777" w:rsidTr="00703807">
        <w:trPr>
          <w:trHeight w:val="300"/>
        </w:trPr>
        <w:tc>
          <w:tcPr>
            <w:tcW w:w="2457" w:type="pct"/>
            <w:tcBorders>
              <w:top w:val="nil"/>
              <w:left w:val="nil"/>
              <w:bottom w:val="nil"/>
              <w:right w:val="nil"/>
            </w:tcBorders>
            <w:shd w:val="clear" w:color="auto" w:fill="auto"/>
            <w:noWrap/>
            <w:vAlign w:val="bottom"/>
            <w:hideMark/>
          </w:tcPr>
          <w:p w14:paraId="66DF9D0C" w14:textId="77777777" w:rsidR="006304E8" w:rsidRPr="00EC690A" w:rsidRDefault="006304E8" w:rsidP="000B68BF">
            <w:pPr>
              <w:rPr>
                <w:color w:val="000000"/>
                <w:sz w:val="18"/>
                <w:szCs w:val="18"/>
                <w:lang w:eastAsia="en-GB"/>
              </w:rPr>
            </w:pPr>
            <w:r w:rsidRPr="00EC690A">
              <w:rPr>
                <w:color w:val="000000"/>
                <w:sz w:val="18"/>
                <w:szCs w:val="18"/>
              </w:rPr>
              <w:t>US Embassy</w:t>
            </w:r>
          </w:p>
        </w:tc>
        <w:tc>
          <w:tcPr>
            <w:tcW w:w="690" w:type="pct"/>
            <w:tcBorders>
              <w:top w:val="nil"/>
              <w:left w:val="nil"/>
              <w:bottom w:val="nil"/>
              <w:right w:val="nil"/>
            </w:tcBorders>
            <w:shd w:val="clear" w:color="auto" w:fill="auto"/>
            <w:noWrap/>
            <w:vAlign w:val="bottom"/>
          </w:tcPr>
          <w:p w14:paraId="2B98CF58" w14:textId="6BBDA1E6" w:rsidR="006304E8" w:rsidRPr="00703807" w:rsidRDefault="00DD648A" w:rsidP="000B68BF">
            <w:pPr>
              <w:jc w:val="right"/>
              <w:rPr>
                <w:b/>
                <w:bCs/>
                <w:color w:val="000000"/>
                <w:sz w:val="18"/>
                <w:szCs w:val="18"/>
                <w:lang w:eastAsia="en-GB"/>
              </w:rPr>
            </w:pPr>
            <w:r w:rsidRPr="00703807">
              <w:rPr>
                <w:b/>
                <w:bCs/>
                <w:color w:val="000000"/>
                <w:sz w:val="18"/>
                <w:szCs w:val="18"/>
                <w:lang w:eastAsia="en-GB"/>
              </w:rPr>
              <w:t>-</w:t>
            </w:r>
          </w:p>
        </w:tc>
        <w:tc>
          <w:tcPr>
            <w:tcW w:w="680" w:type="pct"/>
            <w:tcBorders>
              <w:top w:val="nil"/>
              <w:left w:val="nil"/>
              <w:bottom w:val="nil"/>
              <w:right w:val="nil"/>
            </w:tcBorders>
            <w:shd w:val="clear" w:color="auto" w:fill="auto"/>
            <w:noWrap/>
            <w:vAlign w:val="bottom"/>
          </w:tcPr>
          <w:p w14:paraId="205731B8" w14:textId="64F8EF0F" w:rsidR="006304E8" w:rsidRPr="00703807" w:rsidRDefault="00DD648A" w:rsidP="000B68BF">
            <w:pPr>
              <w:jc w:val="right"/>
              <w:rPr>
                <w:b/>
                <w:bCs/>
                <w:color w:val="000000"/>
                <w:sz w:val="18"/>
                <w:szCs w:val="18"/>
                <w:lang w:eastAsia="en-GB"/>
              </w:rPr>
            </w:pPr>
            <w:r w:rsidRPr="00703807">
              <w:rPr>
                <w:b/>
                <w:bCs/>
                <w:color w:val="000000"/>
                <w:sz w:val="18"/>
                <w:szCs w:val="18"/>
                <w:lang w:eastAsia="en-GB"/>
              </w:rPr>
              <w:t>-</w:t>
            </w:r>
          </w:p>
        </w:tc>
        <w:tc>
          <w:tcPr>
            <w:tcW w:w="784" w:type="pct"/>
            <w:tcBorders>
              <w:top w:val="nil"/>
              <w:left w:val="nil"/>
              <w:bottom w:val="nil"/>
              <w:right w:val="nil"/>
            </w:tcBorders>
            <w:shd w:val="clear" w:color="auto" w:fill="auto"/>
            <w:noWrap/>
            <w:vAlign w:val="bottom"/>
          </w:tcPr>
          <w:p w14:paraId="4C1B3603" w14:textId="31B64C1F" w:rsidR="006304E8" w:rsidRPr="00703807" w:rsidRDefault="006304E8" w:rsidP="000B68BF">
            <w:pPr>
              <w:jc w:val="right"/>
              <w:rPr>
                <w:color w:val="000000"/>
                <w:sz w:val="18"/>
                <w:szCs w:val="18"/>
              </w:rPr>
            </w:pPr>
            <w:r w:rsidRPr="00703807">
              <w:rPr>
                <w:color w:val="000000"/>
                <w:sz w:val="18"/>
                <w:szCs w:val="18"/>
              </w:rPr>
              <w:t>289,164</w:t>
            </w:r>
          </w:p>
        </w:tc>
        <w:tc>
          <w:tcPr>
            <w:tcW w:w="390" w:type="pct"/>
            <w:tcBorders>
              <w:top w:val="nil"/>
              <w:left w:val="nil"/>
              <w:bottom w:val="nil"/>
              <w:right w:val="nil"/>
            </w:tcBorders>
            <w:shd w:val="clear" w:color="auto" w:fill="auto"/>
            <w:noWrap/>
            <w:vAlign w:val="bottom"/>
          </w:tcPr>
          <w:p w14:paraId="4AF3E695" w14:textId="5872C96C" w:rsidR="006304E8" w:rsidRPr="00703807" w:rsidRDefault="006304E8" w:rsidP="000B68BF">
            <w:pPr>
              <w:jc w:val="right"/>
              <w:rPr>
                <w:color w:val="000000"/>
                <w:sz w:val="18"/>
                <w:szCs w:val="18"/>
                <w:lang w:eastAsia="en-GB"/>
              </w:rPr>
            </w:pPr>
            <w:r w:rsidRPr="00703807">
              <w:rPr>
                <w:color w:val="000000"/>
                <w:sz w:val="18"/>
                <w:szCs w:val="18"/>
                <w:lang w:eastAsia="en-GB"/>
              </w:rPr>
              <w:t>4%</w:t>
            </w:r>
          </w:p>
        </w:tc>
      </w:tr>
      <w:tr w:rsidR="006304E8" w:rsidRPr="00EC690A" w14:paraId="335AAE48" w14:textId="77777777" w:rsidTr="00703807">
        <w:trPr>
          <w:trHeight w:val="300"/>
        </w:trPr>
        <w:tc>
          <w:tcPr>
            <w:tcW w:w="2457" w:type="pct"/>
            <w:tcBorders>
              <w:top w:val="nil"/>
              <w:left w:val="nil"/>
              <w:bottom w:val="nil"/>
              <w:right w:val="nil"/>
            </w:tcBorders>
            <w:shd w:val="clear" w:color="auto" w:fill="auto"/>
            <w:noWrap/>
            <w:vAlign w:val="bottom"/>
            <w:hideMark/>
          </w:tcPr>
          <w:p w14:paraId="595C43FB" w14:textId="77777777" w:rsidR="006304E8" w:rsidRPr="00EC690A" w:rsidRDefault="006304E8" w:rsidP="000B68BF">
            <w:pPr>
              <w:rPr>
                <w:color w:val="000000"/>
                <w:sz w:val="18"/>
                <w:szCs w:val="18"/>
                <w:lang w:eastAsia="en-GB"/>
              </w:rPr>
            </w:pPr>
            <w:r w:rsidRPr="00EC690A">
              <w:rPr>
                <w:color w:val="000000"/>
                <w:sz w:val="18"/>
                <w:szCs w:val="18"/>
              </w:rPr>
              <w:t>Others</w:t>
            </w:r>
          </w:p>
        </w:tc>
        <w:tc>
          <w:tcPr>
            <w:tcW w:w="690" w:type="pct"/>
            <w:tcBorders>
              <w:top w:val="nil"/>
              <w:left w:val="nil"/>
              <w:bottom w:val="nil"/>
              <w:right w:val="nil"/>
            </w:tcBorders>
            <w:shd w:val="clear" w:color="auto" w:fill="auto"/>
            <w:noWrap/>
            <w:vAlign w:val="bottom"/>
          </w:tcPr>
          <w:p w14:paraId="43A8C70E" w14:textId="1B546931" w:rsidR="006304E8" w:rsidRPr="00703807" w:rsidRDefault="00DD648A" w:rsidP="000B68BF">
            <w:pPr>
              <w:jc w:val="right"/>
              <w:rPr>
                <w:b/>
                <w:bCs/>
                <w:color w:val="000000"/>
                <w:sz w:val="18"/>
                <w:szCs w:val="18"/>
                <w:lang w:eastAsia="en-GB"/>
              </w:rPr>
            </w:pPr>
            <w:r w:rsidRPr="00703807">
              <w:rPr>
                <w:b/>
                <w:bCs/>
                <w:color w:val="000000"/>
                <w:sz w:val="18"/>
                <w:szCs w:val="18"/>
                <w:lang w:eastAsia="en-GB"/>
              </w:rPr>
              <w:t>722,955</w:t>
            </w:r>
          </w:p>
        </w:tc>
        <w:tc>
          <w:tcPr>
            <w:tcW w:w="680" w:type="pct"/>
            <w:tcBorders>
              <w:top w:val="nil"/>
              <w:left w:val="nil"/>
              <w:bottom w:val="nil"/>
              <w:right w:val="nil"/>
            </w:tcBorders>
            <w:shd w:val="clear" w:color="auto" w:fill="auto"/>
            <w:noWrap/>
            <w:vAlign w:val="bottom"/>
          </w:tcPr>
          <w:p w14:paraId="3CE939E1" w14:textId="1F820BC9" w:rsidR="006304E8" w:rsidRPr="00703807" w:rsidRDefault="00DD648A" w:rsidP="000B68BF">
            <w:pPr>
              <w:jc w:val="right"/>
              <w:rPr>
                <w:b/>
                <w:bCs/>
                <w:color w:val="000000"/>
                <w:sz w:val="18"/>
                <w:szCs w:val="18"/>
                <w:lang w:eastAsia="en-GB"/>
              </w:rPr>
            </w:pPr>
            <w:r w:rsidRPr="00703807">
              <w:rPr>
                <w:b/>
                <w:bCs/>
                <w:color w:val="000000"/>
                <w:sz w:val="18"/>
                <w:szCs w:val="18"/>
                <w:lang w:eastAsia="en-GB"/>
              </w:rPr>
              <w:t>56%</w:t>
            </w:r>
          </w:p>
        </w:tc>
        <w:tc>
          <w:tcPr>
            <w:tcW w:w="784" w:type="pct"/>
            <w:tcBorders>
              <w:top w:val="nil"/>
              <w:left w:val="nil"/>
              <w:bottom w:val="nil"/>
              <w:right w:val="nil"/>
            </w:tcBorders>
            <w:shd w:val="clear" w:color="auto" w:fill="auto"/>
            <w:noWrap/>
            <w:vAlign w:val="bottom"/>
          </w:tcPr>
          <w:p w14:paraId="5A5E45C0" w14:textId="77FE4657" w:rsidR="006304E8" w:rsidRPr="00703807" w:rsidRDefault="006304E8" w:rsidP="000B68BF">
            <w:pPr>
              <w:jc w:val="right"/>
              <w:rPr>
                <w:color w:val="000000"/>
                <w:sz w:val="18"/>
                <w:szCs w:val="18"/>
              </w:rPr>
            </w:pPr>
            <w:r w:rsidRPr="00703807">
              <w:rPr>
                <w:color w:val="000000"/>
                <w:sz w:val="18"/>
                <w:szCs w:val="18"/>
              </w:rPr>
              <w:t>558,035</w:t>
            </w:r>
          </w:p>
        </w:tc>
        <w:tc>
          <w:tcPr>
            <w:tcW w:w="390" w:type="pct"/>
            <w:tcBorders>
              <w:top w:val="nil"/>
              <w:left w:val="nil"/>
              <w:bottom w:val="nil"/>
              <w:right w:val="nil"/>
            </w:tcBorders>
            <w:shd w:val="clear" w:color="auto" w:fill="auto"/>
            <w:noWrap/>
            <w:vAlign w:val="bottom"/>
          </w:tcPr>
          <w:p w14:paraId="6DA6CEDC" w14:textId="645D561E" w:rsidR="006304E8" w:rsidRPr="00703807" w:rsidRDefault="00DD648A" w:rsidP="000B68BF">
            <w:pPr>
              <w:jc w:val="right"/>
              <w:rPr>
                <w:color w:val="000000"/>
                <w:sz w:val="18"/>
                <w:szCs w:val="18"/>
                <w:lang w:eastAsia="en-GB"/>
              </w:rPr>
            </w:pPr>
            <w:r w:rsidRPr="00703807">
              <w:rPr>
                <w:color w:val="000000"/>
                <w:sz w:val="18"/>
                <w:szCs w:val="18"/>
                <w:lang w:eastAsia="en-GB"/>
              </w:rPr>
              <w:t>8</w:t>
            </w:r>
            <w:r w:rsidR="006304E8" w:rsidRPr="00703807">
              <w:rPr>
                <w:color w:val="000000"/>
                <w:sz w:val="18"/>
                <w:szCs w:val="18"/>
                <w:lang w:eastAsia="en-GB"/>
              </w:rPr>
              <w:t>%</w:t>
            </w:r>
          </w:p>
        </w:tc>
      </w:tr>
      <w:tr w:rsidR="006304E8" w:rsidRPr="00EC690A" w14:paraId="4924AD9D" w14:textId="77777777" w:rsidTr="00703807">
        <w:trPr>
          <w:trHeight w:val="300"/>
        </w:trPr>
        <w:tc>
          <w:tcPr>
            <w:tcW w:w="2457" w:type="pct"/>
            <w:tcBorders>
              <w:top w:val="single" w:sz="4" w:space="0" w:color="auto"/>
              <w:left w:val="nil"/>
              <w:bottom w:val="single" w:sz="4" w:space="0" w:color="auto"/>
              <w:right w:val="nil"/>
            </w:tcBorders>
            <w:shd w:val="clear" w:color="auto" w:fill="auto"/>
            <w:noWrap/>
            <w:vAlign w:val="bottom"/>
            <w:hideMark/>
          </w:tcPr>
          <w:p w14:paraId="38DCCA69" w14:textId="77777777" w:rsidR="006304E8" w:rsidRPr="00EC690A" w:rsidRDefault="006304E8" w:rsidP="000B68BF">
            <w:pPr>
              <w:rPr>
                <w:b/>
                <w:bCs/>
                <w:color w:val="000000"/>
                <w:sz w:val="18"/>
                <w:szCs w:val="18"/>
                <w:lang w:eastAsia="en-GB"/>
              </w:rPr>
            </w:pPr>
            <w:r w:rsidRPr="00EC690A">
              <w:rPr>
                <w:b/>
                <w:bCs/>
                <w:color w:val="000000"/>
                <w:sz w:val="18"/>
                <w:szCs w:val="18"/>
                <w:lang w:eastAsia="en-GB"/>
              </w:rPr>
              <w:t>Total receivables from direct insurance business</w:t>
            </w:r>
          </w:p>
        </w:tc>
        <w:tc>
          <w:tcPr>
            <w:tcW w:w="690" w:type="pct"/>
            <w:tcBorders>
              <w:top w:val="single" w:sz="4" w:space="0" w:color="auto"/>
              <w:left w:val="nil"/>
              <w:bottom w:val="single" w:sz="4" w:space="0" w:color="auto"/>
              <w:right w:val="nil"/>
            </w:tcBorders>
            <w:shd w:val="clear" w:color="auto" w:fill="auto"/>
            <w:noWrap/>
            <w:vAlign w:val="bottom"/>
          </w:tcPr>
          <w:p w14:paraId="094DF836" w14:textId="49250C9E" w:rsidR="006304E8" w:rsidRPr="00703807" w:rsidRDefault="00703807" w:rsidP="000B68BF">
            <w:pPr>
              <w:jc w:val="right"/>
              <w:rPr>
                <w:b/>
                <w:bCs/>
                <w:color w:val="000000"/>
                <w:sz w:val="18"/>
                <w:szCs w:val="18"/>
                <w:lang w:eastAsia="en-GB"/>
              </w:rPr>
            </w:pPr>
            <w:r>
              <w:rPr>
                <w:b/>
                <w:bCs/>
                <w:color w:val="000000"/>
                <w:sz w:val="18"/>
                <w:szCs w:val="18"/>
                <w:lang w:eastAsia="en-GB"/>
              </w:rPr>
              <w:t>1,295,559</w:t>
            </w:r>
          </w:p>
        </w:tc>
        <w:tc>
          <w:tcPr>
            <w:tcW w:w="680" w:type="pct"/>
            <w:tcBorders>
              <w:top w:val="single" w:sz="4" w:space="0" w:color="auto"/>
              <w:left w:val="nil"/>
              <w:bottom w:val="single" w:sz="4" w:space="0" w:color="auto"/>
              <w:right w:val="nil"/>
            </w:tcBorders>
            <w:shd w:val="clear" w:color="auto" w:fill="auto"/>
            <w:noWrap/>
            <w:vAlign w:val="bottom"/>
            <w:hideMark/>
          </w:tcPr>
          <w:p w14:paraId="0F37EFD6" w14:textId="77777777" w:rsidR="006304E8" w:rsidRPr="00703807" w:rsidRDefault="006304E8" w:rsidP="000B68BF">
            <w:pPr>
              <w:jc w:val="right"/>
              <w:rPr>
                <w:b/>
                <w:bCs/>
                <w:color w:val="000000"/>
                <w:sz w:val="18"/>
                <w:szCs w:val="18"/>
                <w:lang w:eastAsia="en-GB"/>
              </w:rPr>
            </w:pPr>
            <w:r w:rsidRPr="00703807">
              <w:rPr>
                <w:b/>
                <w:bCs/>
                <w:color w:val="000000"/>
                <w:sz w:val="18"/>
                <w:szCs w:val="18"/>
                <w:lang w:eastAsia="en-GB"/>
              </w:rPr>
              <w:t>100%</w:t>
            </w:r>
          </w:p>
        </w:tc>
        <w:tc>
          <w:tcPr>
            <w:tcW w:w="784" w:type="pct"/>
            <w:tcBorders>
              <w:top w:val="single" w:sz="4" w:space="0" w:color="auto"/>
              <w:left w:val="nil"/>
              <w:bottom w:val="single" w:sz="4" w:space="0" w:color="auto"/>
              <w:right w:val="nil"/>
            </w:tcBorders>
            <w:shd w:val="clear" w:color="auto" w:fill="auto"/>
            <w:noWrap/>
            <w:vAlign w:val="bottom"/>
          </w:tcPr>
          <w:p w14:paraId="6FF88B67" w14:textId="2F20A182" w:rsidR="006304E8" w:rsidRPr="00703807" w:rsidRDefault="006304E8" w:rsidP="000B68BF">
            <w:pPr>
              <w:jc w:val="right"/>
              <w:rPr>
                <w:color w:val="000000"/>
                <w:sz w:val="18"/>
                <w:szCs w:val="18"/>
                <w:lang w:eastAsia="en-GB"/>
              </w:rPr>
            </w:pPr>
            <w:r w:rsidRPr="00703807">
              <w:rPr>
                <w:color w:val="000000"/>
                <w:sz w:val="18"/>
                <w:szCs w:val="18"/>
                <w:lang w:eastAsia="en-GB"/>
              </w:rPr>
              <w:t>6,576,384</w:t>
            </w:r>
          </w:p>
        </w:tc>
        <w:tc>
          <w:tcPr>
            <w:tcW w:w="390" w:type="pct"/>
            <w:tcBorders>
              <w:top w:val="single" w:sz="4" w:space="0" w:color="auto"/>
              <w:left w:val="nil"/>
              <w:bottom w:val="single" w:sz="4" w:space="0" w:color="auto"/>
              <w:right w:val="nil"/>
            </w:tcBorders>
            <w:shd w:val="clear" w:color="auto" w:fill="auto"/>
            <w:noWrap/>
            <w:vAlign w:val="bottom"/>
            <w:hideMark/>
          </w:tcPr>
          <w:p w14:paraId="2D08E422" w14:textId="77777777" w:rsidR="006304E8" w:rsidRPr="00703807" w:rsidRDefault="006304E8" w:rsidP="000B68BF">
            <w:pPr>
              <w:jc w:val="right"/>
              <w:rPr>
                <w:color w:val="000000"/>
                <w:sz w:val="18"/>
                <w:szCs w:val="18"/>
                <w:lang w:eastAsia="en-GB"/>
              </w:rPr>
            </w:pPr>
            <w:r w:rsidRPr="00703807">
              <w:rPr>
                <w:color w:val="000000"/>
                <w:sz w:val="18"/>
                <w:szCs w:val="18"/>
                <w:lang w:eastAsia="en-GB"/>
              </w:rPr>
              <w:t>100%</w:t>
            </w:r>
          </w:p>
        </w:tc>
      </w:tr>
      <w:tr w:rsidR="006304E8" w:rsidRPr="00EC690A" w14:paraId="0253E03E" w14:textId="77777777" w:rsidTr="00703807">
        <w:trPr>
          <w:trHeight w:val="315"/>
        </w:trPr>
        <w:tc>
          <w:tcPr>
            <w:tcW w:w="2457" w:type="pct"/>
            <w:tcBorders>
              <w:top w:val="nil"/>
              <w:left w:val="nil"/>
              <w:bottom w:val="double" w:sz="6" w:space="0" w:color="auto"/>
              <w:right w:val="nil"/>
            </w:tcBorders>
            <w:shd w:val="clear" w:color="auto" w:fill="auto"/>
            <w:noWrap/>
            <w:vAlign w:val="bottom"/>
            <w:hideMark/>
          </w:tcPr>
          <w:p w14:paraId="1F2541E5" w14:textId="77777777" w:rsidR="006304E8" w:rsidRPr="00EC690A" w:rsidRDefault="006304E8" w:rsidP="000B68BF">
            <w:pPr>
              <w:rPr>
                <w:b/>
                <w:bCs/>
                <w:color w:val="000000"/>
                <w:sz w:val="18"/>
                <w:szCs w:val="18"/>
                <w:lang w:eastAsia="en-GB"/>
              </w:rPr>
            </w:pPr>
            <w:r w:rsidRPr="00EC690A">
              <w:rPr>
                <w:b/>
                <w:bCs/>
                <w:color w:val="000000"/>
                <w:sz w:val="18"/>
                <w:szCs w:val="18"/>
                <w:lang w:eastAsia="en-GB"/>
              </w:rPr>
              <w:t>Total receivables</w:t>
            </w:r>
          </w:p>
        </w:tc>
        <w:tc>
          <w:tcPr>
            <w:tcW w:w="690" w:type="pct"/>
            <w:tcBorders>
              <w:top w:val="nil"/>
              <w:left w:val="nil"/>
              <w:bottom w:val="double" w:sz="6" w:space="0" w:color="auto"/>
              <w:right w:val="nil"/>
            </w:tcBorders>
            <w:shd w:val="clear" w:color="auto" w:fill="auto"/>
            <w:noWrap/>
            <w:vAlign w:val="bottom"/>
          </w:tcPr>
          <w:p w14:paraId="735DAA35" w14:textId="563F4ECC" w:rsidR="006304E8" w:rsidRPr="00EC690A" w:rsidRDefault="00703807" w:rsidP="000B68BF">
            <w:pPr>
              <w:jc w:val="right"/>
              <w:rPr>
                <w:b/>
                <w:bCs/>
                <w:color w:val="000000"/>
                <w:sz w:val="18"/>
                <w:szCs w:val="18"/>
                <w:lang w:eastAsia="en-GB"/>
              </w:rPr>
            </w:pPr>
            <w:r>
              <w:rPr>
                <w:b/>
                <w:bCs/>
                <w:color w:val="000000"/>
                <w:sz w:val="18"/>
                <w:szCs w:val="18"/>
                <w:lang w:eastAsia="en-GB"/>
              </w:rPr>
              <w:t>1,295,559</w:t>
            </w:r>
          </w:p>
        </w:tc>
        <w:tc>
          <w:tcPr>
            <w:tcW w:w="680" w:type="pct"/>
            <w:tcBorders>
              <w:top w:val="nil"/>
              <w:left w:val="nil"/>
              <w:bottom w:val="double" w:sz="6" w:space="0" w:color="auto"/>
              <w:right w:val="nil"/>
            </w:tcBorders>
            <w:shd w:val="clear" w:color="auto" w:fill="auto"/>
            <w:noWrap/>
            <w:vAlign w:val="bottom"/>
            <w:hideMark/>
          </w:tcPr>
          <w:p w14:paraId="6B57A00C" w14:textId="77777777" w:rsidR="006304E8" w:rsidRPr="00EC690A" w:rsidRDefault="006304E8" w:rsidP="000B68BF">
            <w:pPr>
              <w:rPr>
                <w:b/>
                <w:bCs/>
                <w:color w:val="000000"/>
                <w:sz w:val="18"/>
                <w:szCs w:val="18"/>
                <w:lang w:eastAsia="en-GB"/>
              </w:rPr>
            </w:pPr>
            <w:r w:rsidRPr="00EC690A">
              <w:rPr>
                <w:b/>
                <w:bCs/>
                <w:color w:val="000000"/>
                <w:sz w:val="18"/>
                <w:szCs w:val="18"/>
              </w:rPr>
              <w:t> </w:t>
            </w:r>
          </w:p>
        </w:tc>
        <w:tc>
          <w:tcPr>
            <w:tcW w:w="784" w:type="pct"/>
            <w:tcBorders>
              <w:top w:val="nil"/>
              <w:left w:val="nil"/>
              <w:bottom w:val="double" w:sz="6" w:space="0" w:color="auto"/>
              <w:right w:val="nil"/>
            </w:tcBorders>
            <w:shd w:val="clear" w:color="auto" w:fill="auto"/>
            <w:noWrap/>
            <w:vAlign w:val="bottom"/>
          </w:tcPr>
          <w:p w14:paraId="1BA3E2AC" w14:textId="5B85CDF7" w:rsidR="006304E8" w:rsidRPr="00703807" w:rsidRDefault="006304E8" w:rsidP="000B68BF">
            <w:pPr>
              <w:jc w:val="right"/>
              <w:rPr>
                <w:color w:val="000000"/>
                <w:sz w:val="18"/>
                <w:szCs w:val="18"/>
                <w:lang w:eastAsia="en-GB"/>
              </w:rPr>
            </w:pPr>
            <w:r w:rsidRPr="00703807">
              <w:rPr>
                <w:color w:val="000000"/>
                <w:sz w:val="18"/>
                <w:szCs w:val="18"/>
                <w:lang w:eastAsia="en-GB"/>
              </w:rPr>
              <w:t>6,576,384</w:t>
            </w:r>
          </w:p>
        </w:tc>
        <w:tc>
          <w:tcPr>
            <w:tcW w:w="390" w:type="pct"/>
            <w:tcBorders>
              <w:top w:val="nil"/>
              <w:left w:val="nil"/>
              <w:bottom w:val="double" w:sz="6" w:space="0" w:color="auto"/>
              <w:right w:val="nil"/>
            </w:tcBorders>
            <w:shd w:val="clear" w:color="auto" w:fill="auto"/>
            <w:noWrap/>
            <w:vAlign w:val="bottom"/>
            <w:hideMark/>
          </w:tcPr>
          <w:p w14:paraId="793BB321" w14:textId="77777777" w:rsidR="006304E8" w:rsidRPr="00703807" w:rsidRDefault="006304E8" w:rsidP="000B68BF">
            <w:pPr>
              <w:rPr>
                <w:color w:val="000000"/>
                <w:sz w:val="18"/>
                <w:szCs w:val="18"/>
                <w:lang w:eastAsia="en-GB"/>
              </w:rPr>
            </w:pPr>
            <w:r w:rsidRPr="00703807">
              <w:rPr>
                <w:color w:val="000000"/>
                <w:sz w:val="18"/>
                <w:szCs w:val="18"/>
                <w:lang w:eastAsia="en-GB"/>
              </w:rPr>
              <w:t> </w:t>
            </w:r>
          </w:p>
        </w:tc>
      </w:tr>
    </w:tbl>
    <w:p w14:paraId="0AF7B103" w14:textId="3CF7AA41" w:rsidR="006304E8" w:rsidRDefault="006304E8" w:rsidP="004120E2">
      <w:pPr>
        <w:spacing w:before="120" w:after="120"/>
        <w:rPr>
          <w:sz w:val="18"/>
          <w:szCs w:val="18"/>
          <w:lang w:val="en-US"/>
        </w:rPr>
      </w:pPr>
      <w:r>
        <w:rPr>
          <w:sz w:val="18"/>
          <w:szCs w:val="18"/>
          <w:lang w:val="en-US"/>
        </w:rPr>
        <w:t xml:space="preserve">The </w:t>
      </w:r>
      <w:proofErr w:type="gramStart"/>
      <w:r>
        <w:rPr>
          <w:sz w:val="18"/>
          <w:szCs w:val="18"/>
          <w:lang w:val="en-US"/>
        </w:rPr>
        <w:t>amount</w:t>
      </w:r>
      <w:proofErr w:type="gramEnd"/>
      <w:r>
        <w:rPr>
          <w:sz w:val="18"/>
          <w:szCs w:val="18"/>
          <w:lang w:val="en-US"/>
        </w:rPr>
        <w:t xml:space="preserve"> of receivables due from a related party, “</w:t>
      </w:r>
      <w:proofErr w:type="spellStart"/>
      <w:r>
        <w:rPr>
          <w:sz w:val="18"/>
          <w:szCs w:val="18"/>
          <w:lang w:val="en-US"/>
        </w:rPr>
        <w:t>MediClub</w:t>
      </w:r>
      <w:proofErr w:type="spellEnd"/>
      <w:r>
        <w:rPr>
          <w:sz w:val="18"/>
          <w:szCs w:val="18"/>
          <w:lang w:val="en-US"/>
        </w:rPr>
        <w:t xml:space="preserve">” LLC, for both tears were </w:t>
      </w:r>
      <w:proofErr w:type="spellStart"/>
      <w:r>
        <w:rPr>
          <w:sz w:val="18"/>
          <w:szCs w:val="18"/>
          <w:lang w:val="en-US"/>
        </w:rPr>
        <w:t>nill</w:t>
      </w:r>
      <w:proofErr w:type="spellEnd"/>
      <w:r>
        <w:rPr>
          <w:sz w:val="18"/>
          <w:szCs w:val="18"/>
          <w:lang w:val="en-US"/>
        </w:rPr>
        <w:t>.</w:t>
      </w:r>
    </w:p>
    <w:p w14:paraId="044B5902" w14:textId="59A24996" w:rsidR="006304E8" w:rsidRDefault="006304E8" w:rsidP="004120E2">
      <w:pPr>
        <w:spacing w:before="120" w:after="120"/>
        <w:rPr>
          <w:sz w:val="18"/>
          <w:szCs w:val="18"/>
          <w:lang w:val="en-US"/>
        </w:rPr>
      </w:pPr>
    </w:p>
    <w:p w14:paraId="480E8397" w14:textId="14FC5D08" w:rsidR="006304E8" w:rsidRPr="006304E8" w:rsidRDefault="006304E8" w:rsidP="006304E8">
      <w:pPr>
        <w:pStyle w:val="ListParagraph"/>
        <w:numPr>
          <w:ilvl w:val="0"/>
          <w:numId w:val="1"/>
        </w:numPr>
        <w:spacing w:before="240" w:after="120"/>
        <w:ind w:left="357" w:hanging="357"/>
        <w:contextualSpacing w:val="0"/>
        <w:outlineLvl w:val="0"/>
        <w:rPr>
          <w:b/>
          <w:bCs/>
          <w:sz w:val="18"/>
          <w:szCs w:val="18"/>
          <w:lang w:val="en-US"/>
        </w:rPr>
      </w:pPr>
      <w:bookmarkStart w:id="50" w:name="_Toc57894894"/>
      <w:r w:rsidRPr="006304E8">
        <w:rPr>
          <w:b/>
          <w:bCs/>
          <w:sz w:val="18"/>
          <w:szCs w:val="18"/>
          <w:lang w:val="en-US"/>
        </w:rPr>
        <w:t>Reinsurance assets</w:t>
      </w:r>
      <w:bookmarkEnd w:id="50"/>
    </w:p>
    <w:tbl>
      <w:tblPr>
        <w:tblW w:w="8789" w:type="dxa"/>
        <w:tblLook w:val="04A0" w:firstRow="1" w:lastRow="0" w:firstColumn="1" w:lastColumn="0" w:noHBand="0" w:noVBand="1"/>
      </w:tblPr>
      <w:tblGrid>
        <w:gridCol w:w="5245"/>
        <w:gridCol w:w="709"/>
        <w:gridCol w:w="1275"/>
        <w:gridCol w:w="1560"/>
      </w:tblGrid>
      <w:tr w:rsidR="006304E8" w:rsidRPr="00290B01" w14:paraId="0D0E7512" w14:textId="77777777" w:rsidTr="000B68BF">
        <w:trPr>
          <w:trHeight w:val="305"/>
        </w:trPr>
        <w:tc>
          <w:tcPr>
            <w:tcW w:w="5245" w:type="dxa"/>
            <w:tcBorders>
              <w:top w:val="nil"/>
              <w:left w:val="nil"/>
              <w:bottom w:val="single" w:sz="8" w:space="0" w:color="auto"/>
              <w:right w:val="nil"/>
            </w:tcBorders>
            <w:shd w:val="clear" w:color="auto" w:fill="auto"/>
            <w:noWrap/>
            <w:vAlign w:val="center"/>
            <w:hideMark/>
          </w:tcPr>
          <w:p w14:paraId="0D569D6B" w14:textId="77777777" w:rsidR="006304E8" w:rsidRPr="00290B01" w:rsidRDefault="006304E8" w:rsidP="000B68BF">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4EE1D3A8" w14:textId="77777777" w:rsidR="006304E8" w:rsidRPr="00290B01" w:rsidRDefault="006304E8" w:rsidP="000B68BF">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4881C04D" w14:textId="41F679D5" w:rsidR="006304E8" w:rsidRPr="00290B01" w:rsidRDefault="00703807" w:rsidP="000B68BF">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31.12.</w:t>
            </w:r>
            <w:r w:rsidR="006304E8" w:rsidRPr="00290B01">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34BB35DF" w14:textId="405919EC" w:rsidR="006304E8" w:rsidRPr="00703807" w:rsidRDefault="00703807" w:rsidP="000B68BF">
            <w:pPr>
              <w:jc w:val="right"/>
              <w:rPr>
                <w:rFonts w:eastAsia="Times New Roman" w:cs="Times New Roman"/>
                <w:color w:val="000000"/>
                <w:sz w:val="18"/>
                <w:szCs w:val="18"/>
                <w:lang w:eastAsia="en-GB"/>
              </w:rPr>
            </w:pPr>
            <w:r>
              <w:rPr>
                <w:rFonts w:eastAsia="Times New Roman" w:cs="Times New Roman"/>
                <w:color w:val="000000"/>
                <w:sz w:val="18"/>
                <w:szCs w:val="18"/>
                <w:lang w:eastAsia="en-GB"/>
              </w:rPr>
              <w:t>31.12.</w:t>
            </w:r>
            <w:r w:rsidR="006304E8" w:rsidRPr="00703807">
              <w:rPr>
                <w:rFonts w:eastAsia="Times New Roman" w:cs="Times New Roman"/>
                <w:color w:val="000000"/>
                <w:sz w:val="18"/>
                <w:szCs w:val="18"/>
                <w:lang w:eastAsia="en-GB"/>
              </w:rPr>
              <w:t>2018</w:t>
            </w:r>
          </w:p>
        </w:tc>
      </w:tr>
      <w:tr w:rsidR="006304E8" w:rsidRPr="00290B01" w14:paraId="0714B68C" w14:textId="77777777" w:rsidTr="000B68BF">
        <w:trPr>
          <w:trHeight w:val="288"/>
        </w:trPr>
        <w:tc>
          <w:tcPr>
            <w:tcW w:w="5245" w:type="dxa"/>
            <w:tcBorders>
              <w:top w:val="nil"/>
              <w:left w:val="nil"/>
              <w:bottom w:val="nil"/>
              <w:right w:val="nil"/>
            </w:tcBorders>
            <w:shd w:val="clear" w:color="auto" w:fill="auto"/>
            <w:noWrap/>
            <w:vAlign w:val="center"/>
            <w:hideMark/>
          </w:tcPr>
          <w:p w14:paraId="7EADEAD5" w14:textId="297E1A55" w:rsidR="006304E8" w:rsidRPr="00290B01" w:rsidRDefault="006304E8" w:rsidP="000B68BF">
            <w:pPr>
              <w:rPr>
                <w:rFonts w:eastAsia="Times New Roman" w:cs="Times New Roman"/>
                <w:color w:val="000000"/>
                <w:sz w:val="18"/>
                <w:szCs w:val="18"/>
                <w:lang w:eastAsia="en-GB"/>
              </w:rPr>
            </w:pPr>
            <w:r w:rsidRPr="006304E8">
              <w:rPr>
                <w:rFonts w:eastAsia="Times New Roman" w:cs="Times New Roman"/>
                <w:color w:val="000000"/>
                <w:sz w:val="18"/>
                <w:szCs w:val="18"/>
                <w:lang w:eastAsia="en-GB"/>
              </w:rPr>
              <w:t>Reinsurer’s share in provision for unearned premiums</w:t>
            </w:r>
          </w:p>
        </w:tc>
        <w:tc>
          <w:tcPr>
            <w:tcW w:w="709" w:type="dxa"/>
            <w:tcBorders>
              <w:top w:val="nil"/>
              <w:left w:val="nil"/>
              <w:bottom w:val="nil"/>
              <w:right w:val="nil"/>
            </w:tcBorders>
            <w:shd w:val="clear" w:color="auto" w:fill="auto"/>
            <w:noWrap/>
            <w:vAlign w:val="bottom"/>
            <w:hideMark/>
          </w:tcPr>
          <w:p w14:paraId="7116EF87" w14:textId="77777777" w:rsidR="006304E8" w:rsidRPr="00290B01" w:rsidRDefault="006304E8"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17EFFB84" w14:textId="043C39E8" w:rsidR="006304E8" w:rsidRPr="00290B01" w:rsidRDefault="00DD648A" w:rsidP="000B68BF">
            <w:pPr>
              <w:jc w:val="right"/>
              <w:rPr>
                <w:rFonts w:eastAsia="Times New Roman" w:cs="Times New Roman"/>
                <w:sz w:val="18"/>
                <w:szCs w:val="18"/>
                <w:lang w:eastAsia="en-GB"/>
              </w:rPr>
            </w:pPr>
            <w:r>
              <w:rPr>
                <w:rFonts w:eastAsia="Times New Roman" w:cs="Times New Roman"/>
                <w:sz w:val="18"/>
                <w:szCs w:val="18"/>
                <w:lang w:eastAsia="en-GB"/>
              </w:rPr>
              <w:t>1,042,864</w:t>
            </w:r>
          </w:p>
        </w:tc>
        <w:tc>
          <w:tcPr>
            <w:tcW w:w="1560" w:type="dxa"/>
            <w:tcBorders>
              <w:top w:val="nil"/>
              <w:left w:val="nil"/>
              <w:bottom w:val="nil"/>
              <w:right w:val="nil"/>
            </w:tcBorders>
            <w:shd w:val="clear" w:color="auto" w:fill="auto"/>
            <w:noWrap/>
            <w:vAlign w:val="center"/>
          </w:tcPr>
          <w:p w14:paraId="6C90B8F6" w14:textId="28B197E7" w:rsidR="006304E8" w:rsidRPr="00703807" w:rsidRDefault="006304E8" w:rsidP="000B68BF">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708,477</w:t>
            </w:r>
          </w:p>
        </w:tc>
      </w:tr>
      <w:tr w:rsidR="006304E8" w:rsidRPr="00290B01" w14:paraId="494CAAF4" w14:textId="77777777" w:rsidTr="000B68BF">
        <w:trPr>
          <w:trHeight w:val="378"/>
        </w:trPr>
        <w:tc>
          <w:tcPr>
            <w:tcW w:w="5245" w:type="dxa"/>
            <w:tcBorders>
              <w:top w:val="nil"/>
              <w:left w:val="nil"/>
              <w:bottom w:val="nil"/>
              <w:right w:val="nil"/>
            </w:tcBorders>
            <w:shd w:val="clear" w:color="auto" w:fill="auto"/>
            <w:vAlign w:val="center"/>
            <w:hideMark/>
          </w:tcPr>
          <w:p w14:paraId="40ABD208" w14:textId="46842DFC" w:rsidR="006304E8" w:rsidRPr="00290B01" w:rsidRDefault="006304E8" w:rsidP="000B68BF">
            <w:pPr>
              <w:rPr>
                <w:rFonts w:eastAsia="Times New Roman" w:cs="Times New Roman"/>
                <w:color w:val="000000"/>
                <w:sz w:val="18"/>
                <w:szCs w:val="18"/>
                <w:lang w:eastAsia="en-GB"/>
              </w:rPr>
            </w:pPr>
            <w:r w:rsidRPr="006304E8">
              <w:rPr>
                <w:rFonts w:eastAsia="Times New Roman" w:cs="Times New Roman"/>
                <w:color w:val="000000"/>
                <w:sz w:val="18"/>
                <w:szCs w:val="18"/>
                <w:lang w:eastAsia="en-GB"/>
              </w:rPr>
              <w:t>Reinsurer’s share in provision for claims</w:t>
            </w:r>
          </w:p>
        </w:tc>
        <w:tc>
          <w:tcPr>
            <w:tcW w:w="709" w:type="dxa"/>
            <w:tcBorders>
              <w:top w:val="nil"/>
              <w:left w:val="nil"/>
              <w:bottom w:val="nil"/>
              <w:right w:val="nil"/>
            </w:tcBorders>
            <w:shd w:val="clear" w:color="auto" w:fill="auto"/>
            <w:noWrap/>
            <w:vAlign w:val="center"/>
            <w:hideMark/>
          </w:tcPr>
          <w:p w14:paraId="1AA54716" w14:textId="77777777" w:rsidR="006304E8" w:rsidRPr="00290B01" w:rsidRDefault="006304E8"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51A4EA16" w14:textId="622B250E" w:rsidR="006304E8" w:rsidRPr="00290B01" w:rsidRDefault="00DD648A" w:rsidP="000B68BF">
            <w:pPr>
              <w:jc w:val="right"/>
              <w:rPr>
                <w:rFonts w:eastAsia="Times New Roman" w:cs="Times New Roman"/>
                <w:sz w:val="18"/>
                <w:szCs w:val="18"/>
                <w:lang w:eastAsia="en-GB"/>
              </w:rPr>
            </w:pPr>
            <w:r>
              <w:rPr>
                <w:rFonts w:eastAsia="Times New Roman" w:cs="Times New Roman"/>
                <w:sz w:val="18"/>
                <w:szCs w:val="18"/>
                <w:lang w:eastAsia="en-GB"/>
              </w:rPr>
              <w:t>407,000</w:t>
            </w:r>
          </w:p>
        </w:tc>
        <w:tc>
          <w:tcPr>
            <w:tcW w:w="1560" w:type="dxa"/>
            <w:tcBorders>
              <w:top w:val="nil"/>
              <w:left w:val="nil"/>
              <w:bottom w:val="nil"/>
              <w:right w:val="nil"/>
            </w:tcBorders>
            <w:shd w:val="clear" w:color="auto" w:fill="auto"/>
            <w:noWrap/>
            <w:vAlign w:val="center"/>
          </w:tcPr>
          <w:p w14:paraId="3EB538B1" w14:textId="761FB83F" w:rsidR="006304E8" w:rsidRPr="00703807" w:rsidRDefault="006304E8" w:rsidP="000B68BF">
            <w:pPr>
              <w:jc w:val="right"/>
              <w:rPr>
                <w:rFonts w:eastAsia="Times New Roman" w:cs="Times New Roman"/>
                <w:color w:val="000000"/>
                <w:sz w:val="18"/>
                <w:szCs w:val="18"/>
                <w:lang w:eastAsia="en-GB"/>
              </w:rPr>
            </w:pPr>
            <w:r w:rsidRPr="00703807">
              <w:rPr>
                <w:rFonts w:eastAsia="Times New Roman" w:cs="Times New Roman"/>
                <w:color w:val="000000"/>
                <w:sz w:val="18"/>
                <w:szCs w:val="18"/>
                <w:lang w:eastAsia="en-GB"/>
              </w:rPr>
              <w:t>325,495</w:t>
            </w:r>
          </w:p>
        </w:tc>
      </w:tr>
      <w:tr w:rsidR="006304E8" w:rsidRPr="00290B01" w14:paraId="16C6DECD" w14:textId="77777777" w:rsidTr="000B68BF">
        <w:trPr>
          <w:trHeight w:val="300"/>
        </w:trPr>
        <w:tc>
          <w:tcPr>
            <w:tcW w:w="5245" w:type="dxa"/>
            <w:tcBorders>
              <w:top w:val="single" w:sz="8" w:space="0" w:color="auto"/>
              <w:left w:val="nil"/>
              <w:bottom w:val="double" w:sz="6" w:space="0" w:color="auto"/>
              <w:right w:val="nil"/>
            </w:tcBorders>
            <w:shd w:val="clear" w:color="auto" w:fill="auto"/>
            <w:noWrap/>
            <w:vAlign w:val="center"/>
            <w:hideMark/>
          </w:tcPr>
          <w:p w14:paraId="1D472584" w14:textId="5FB90561" w:rsidR="006304E8" w:rsidRPr="00290B01" w:rsidRDefault="006304E8" w:rsidP="000B68BF">
            <w:pP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xml:space="preserve">Total </w:t>
            </w:r>
            <w:r w:rsidRPr="006304E8">
              <w:rPr>
                <w:rFonts w:eastAsia="Times New Roman" w:cs="Times New Roman"/>
                <w:b/>
                <w:bCs/>
                <w:color w:val="000000"/>
                <w:sz w:val="18"/>
                <w:szCs w:val="18"/>
                <w:lang w:eastAsia="en-GB"/>
              </w:rPr>
              <w:t>reinsurance assets</w:t>
            </w:r>
          </w:p>
        </w:tc>
        <w:tc>
          <w:tcPr>
            <w:tcW w:w="709" w:type="dxa"/>
            <w:tcBorders>
              <w:top w:val="single" w:sz="8" w:space="0" w:color="auto"/>
              <w:left w:val="nil"/>
              <w:bottom w:val="double" w:sz="6" w:space="0" w:color="auto"/>
              <w:right w:val="nil"/>
            </w:tcBorders>
            <w:shd w:val="clear" w:color="auto" w:fill="auto"/>
            <w:noWrap/>
            <w:vAlign w:val="center"/>
            <w:hideMark/>
          </w:tcPr>
          <w:p w14:paraId="4D76E862" w14:textId="77777777" w:rsidR="006304E8" w:rsidRPr="00290B01" w:rsidRDefault="006304E8" w:rsidP="000B68BF">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center"/>
            <w:hideMark/>
          </w:tcPr>
          <w:p w14:paraId="65BDD09D" w14:textId="6E641EB8" w:rsidR="006304E8" w:rsidRPr="00290B01" w:rsidRDefault="006304E8" w:rsidP="000B68BF">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r w:rsidR="00DD648A">
              <w:rPr>
                <w:rFonts w:eastAsia="Times New Roman" w:cs="Times New Roman"/>
                <w:b/>
                <w:bCs/>
                <w:color w:val="000000"/>
                <w:sz w:val="18"/>
                <w:szCs w:val="18"/>
                <w:lang w:eastAsia="en-GB"/>
              </w:rPr>
              <w:t>1,449,864</w:t>
            </w:r>
          </w:p>
        </w:tc>
        <w:tc>
          <w:tcPr>
            <w:tcW w:w="1560" w:type="dxa"/>
            <w:tcBorders>
              <w:top w:val="single" w:sz="8" w:space="0" w:color="auto"/>
              <w:left w:val="nil"/>
              <w:bottom w:val="double" w:sz="6" w:space="0" w:color="auto"/>
              <w:right w:val="nil"/>
            </w:tcBorders>
            <w:shd w:val="clear" w:color="auto" w:fill="auto"/>
            <w:noWrap/>
            <w:vAlign w:val="center"/>
          </w:tcPr>
          <w:p w14:paraId="3DF90F25" w14:textId="6F7BC897" w:rsidR="006304E8" w:rsidRPr="00703807" w:rsidRDefault="006304E8" w:rsidP="000B68BF">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1,033,972</w:t>
            </w:r>
          </w:p>
        </w:tc>
      </w:tr>
    </w:tbl>
    <w:p w14:paraId="3089BA53" w14:textId="581036EC" w:rsidR="006304E8" w:rsidRDefault="006304E8" w:rsidP="006304E8">
      <w:pPr>
        <w:pStyle w:val="ListParagraph"/>
        <w:spacing w:before="120" w:after="120"/>
        <w:ind w:left="0"/>
        <w:rPr>
          <w:sz w:val="18"/>
          <w:szCs w:val="18"/>
          <w:lang w:val="en-US"/>
        </w:rPr>
      </w:pPr>
    </w:p>
    <w:p w14:paraId="0117F007" w14:textId="06A36952" w:rsidR="006304E8" w:rsidRDefault="006304E8" w:rsidP="006304E8">
      <w:pPr>
        <w:pStyle w:val="ListParagraph"/>
        <w:numPr>
          <w:ilvl w:val="0"/>
          <w:numId w:val="1"/>
        </w:numPr>
        <w:spacing w:before="240" w:after="120"/>
        <w:ind w:left="357" w:hanging="357"/>
        <w:contextualSpacing w:val="0"/>
        <w:outlineLvl w:val="0"/>
        <w:rPr>
          <w:b/>
          <w:bCs/>
          <w:sz w:val="18"/>
          <w:szCs w:val="18"/>
          <w:lang w:val="en-US"/>
        </w:rPr>
      </w:pPr>
      <w:bookmarkStart w:id="51" w:name="_Toc57894895"/>
      <w:r w:rsidRPr="006304E8">
        <w:rPr>
          <w:b/>
          <w:bCs/>
          <w:sz w:val="18"/>
          <w:szCs w:val="18"/>
          <w:lang w:val="en-US"/>
        </w:rPr>
        <w:t>Deferred acquisition costs</w:t>
      </w:r>
      <w:bookmarkEnd w:id="51"/>
    </w:p>
    <w:tbl>
      <w:tblPr>
        <w:tblW w:w="8789" w:type="dxa"/>
        <w:tblLook w:val="04A0" w:firstRow="1" w:lastRow="0" w:firstColumn="1" w:lastColumn="0" w:noHBand="0" w:noVBand="1"/>
      </w:tblPr>
      <w:tblGrid>
        <w:gridCol w:w="5245"/>
        <w:gridCol w:w="709"/>
        <w:gridCol w:w="1275"/>
        <w:gridCol w:w="1560"/>
      </w:tblGrid>
      <w:tr w:rsidR="006304E8" w:rsidRPr="00290B01" w14:paraId="017ED312" w14:textId="77777777" w:rsidTr="000B68BF">
        <w:trPr>
          <w:trHeight w:val="305"/>
        </w:trPr>
        <w:tc>
          <w:tcPr>
            <w:tcW w:w="5245" w:type="dxa"/>
            <w:tcBorders>
              <w:top w:val="nil"/>
              <w:left w:val="nil"/>
              <w:bottom w:val="single" w:sz="8" w:space="0" w:color="auto"/>
              <w:right w:val="nil"/>
            </w:tcBorders>
            <w:shd w:val="clear" w:color="auto" w:fill="auto"/>
            <w:noWrap/>
            <w:vAlign w:val="center"/>
            <w:hideMark/>
          </w:tcPr>
          <w:p w14:paraId="7B8C5B71" w14:textId="77777777" w:rsidR="006304E8" w:rsidRPr="00290B01" w:rsidRDefault="006304E8" w:rsidP="000B68BF">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529CF7A9" w14:textId="77777777" w:rsidR="006304E8" w:rsidRPr="00290B01" w:rsidRDefault="006304E8" w:rsidP="000B68BF">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6AD5E0BD" w14:textId="77777777" w:rsidR="006304E8" w:rsidRPr="00290B01" w:rsidRDefault="006304E8" w:rsidP="000B68BF">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2A1BA467" w14:textId="77777777" w:rsidR="006304E8" w:rsidRPr="00290B01" w:rsidRDefault="006304E8" w:rsidP="000B68BF">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2018</w:t>
            </w:r>
          </w:p>
        </w:tc>
      </w:tr>
      <w:tr w:rsidR="006304E8" w:rsidRPr="00290B01" w14:paraId="5D78B4C1" w14:textId="77777777" w:rsidTr="000B68BF">
        <w:trPr>
          <w:trHeight w:val="288"/>
        </w:trPr>
        <w:tc>
          <w:tcPr>
            <w:tcW w:w="5245" w:type="dxa"/>
            <w:tcBorders>
              <w:top w:val="nil"/>
              <w:left w:val="nil"/>
              <w:bottom w:val="nil"/>
              <w:right w:val="nil"/>
            </w:tcBorders>
            <w:shd w:val="clear" w:color="auto" w:fill="auto"/>
            <w:noWrap/>
            <w:vAlign w:val="center"/>
            <w:hideMark/>
          </w:tcPr>
          <w:p w14:paraId="7974103C" w14:textId="4A234170" w:rsidR="006304E8" w:rsidRPr="00290B01" w:rsidRDefault="006304E8" w:rsidP="000B68BF">
            <w:pPr>
              <w:rPr>
                <w:rFonts w:eastAsia="Times New Roman" w:cs="Times New Roman"/>
                <w:color w:val="000000"/>
                <w:sz w:val="18"/>
                <w:szCs w:val="18"/>
                <w:lang w:eastAsia="en-GB"/>
              </w:rPr>
            </w:pPr>
            <w:r w:rsidRPr="006304E8">
              <w:rPr>
                <w:rFonts w:eastAsia="Times New Roman" w:cs="Times New Roman"/>
                <w:color w:val="000000"/>
                <w:sz w:val="18"/>
                <w:szCs w:val="18"/>
                <w:lang w:eastAsia="en-GB"/>
              </w:rPr>
              <w:t>Deferred acquisition cost as at 1 January</w:t>
            </w:r>
          </w:p>
        </w:tc>
        <w:tc>
          <w:tcPr>
            <w:tcW w:w="709" w:type="dxa"/>
            <w:tcBorders>
              <w:top w:val="nil"/>
              <w:left w:val="nil"/>
              <w:bottom w:val="nil"/>
              <w:right w:val="nil"/>
            </w:tcBorders>
            <w:shd w:val="clear" w:color="auto" w:fill="auto"/>
            <w:noWrap/>
            <w:vAlign w:val="bottom"/>
            <w:hideMark/>
          </w:tcPr>
          <w:p w14:paraId="749FBE90" w14:textId="77777777" w:rsidR="006304E8" w:rsidRPr="00290B01" w:rsidRDefault="006304E8"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2F5E8DEE" w14:textId="209B092D" w:rsidR="006304E8" w:rsidRPr="00290B01" w:rsidRDefault="006304E8" w:rsidP="000B68BF">
            <w:pPr>
              <w:jc w:val="right"/>
              <w:rPr>
                <w:rFonts w:eastAsia="Times New Roman" w:cs="Times New Roman"/>
                <w:sz w:val="18"/>
                <w:szCs w:val="18"/>
                <w:lang w:eastAsia="en-GB"/>
              </w:rPr>
            </w:pPr>
            <w:r w:rsidRPr="006304E8">
              <w:rPr>
                <w:rFonts w:eastAsia="Times New Roman" w:cs="Times New Roman"/>
                <w:sz w:val="18"/>
                <w:szCs w:val="18"/>
                <w:lang w:eastAsia="en-GB"/>
              </w:rPr>
              <w:t>45,350</w:t>
            </w:r>
          </w:p>
        </w:tc>
        <w:tc>
          <w:tcPr>
            <w:tcW w:w="1560" w:type="dxa"/>
            <w:tcBorders>
              <w:top w:val="nil"/>
              <w:left w:val="nil"/>
              <w:bottom w:val="nil"/>
              <w:right w:val="nil"/>
            </w:tcBorders>
            <w:shd w:val="clear" w:color="auto" w:fill="auto"/>
            <w:noWrap/>
            <w:vAlign w:val="center"/>
          </w:tcPr>
          <w:p w14:paraId="5977A16D" w14:textId="488ED9DF" w:rsidR="006304E8" w:rsidRPr="00290B01" w:rsidRDefault="006304E8" w:rsidP="000B68BF">
            <w:pPr>
              <w:jc w:val="right"/>
              <w:rPr>
                <w:rFonts w:eastAsia="Times New Roman" w:cs="Times New Roman"/>
                <w:color w:val="000000"/>
                <w:sz w:val="18"/>
                <w:szCs w:val="18"/>
                <w:lang w:val="en-US" w:eastAsia="en-GB"/>
              </w:rPr>
            </w:pPr>
            <w:r w:rsidRPr="006304E8">
              <w:rPr>
                <w:rFonts w:eastAsia="Times New Roman" w:cs="Times New Roman"/>
                <w:color w:val="000000"/>
                <w:sz w:val="18"/>
                <w:szCs w:val="18"/>
                <w:lang w:val="en-US" w:eastAsia="en-GB"/>
              </w:rPr>
              <w:t>44,244</w:t>
            </w:r>
          </w:p>
        </w:tc>
      </w:tr>
      <w:tr w:rsidR="006304E8" w:rsidRPr="00290B01" w14:paraId="0D2FBB2E" w14:textId="77777777" w:rsidTr="000B68BF">
        <w:trPr>
          <w:trHeight w:val="378"/>
        </w:trPr>
        <w:tc>
          <w:tcPr>
            <w:tcW w:w="5245" w:type="dxa"/>
            <w:tcBorders>
              <w:top w:val="nil"/>
              <w:left w:val="nil"/>
              <w:bottom w:val="nil"/>
              <w:right w:val="nil"/>
            </w:tcBorders>
            <w:shd w:val="clear" w:color="auto" w:fill="auto"/>
            <w:vAlign w:val="center"/>
            <w:hideMark/>
          </w:tcPr>
          <w:p w14:paraId="7ABB2800" w14:textId="77035980" w:rsidR="006304E8" w:rsidRPr="00290B01" w:rsidRDefault="006304E8" w:rsidP="000B68BF">
            <w:pPr>
              <w:rPr>
                <w:rFonts w:eastAsia="Times New Roman" w:cs="Times New Roman"/>
                <w:color w:val="000000"/>
                <w:sz w:val="18"/>
                <w:szCs w:val="18"/>
                <w:lang w:eastAsia="en-GB"/>
              </w:rPr>
            </w:pPr>
            <w:r w:rsidRPr="006304E8">
              <w:rPr>
                <w:rFonts w:eastAsia="Times New Roman" w:cs="Times New Roman"/>
                <w:color w:val="000000"/>
                <w:sz w:val="18"/>
                <w:szCs w:val="18"/>
                <w:lang w:eastAsia="en-GB"/>
              </w:rPr>
              <w:t>Change in deferred acquisition costs</w:t>
            </w:r>
          </w:p>
        </w:tc>
        <w:tc>
          <w:tcPr>
            <w:tcW w:w="709" w:type="dxa"/>
            <w:tcBorders>
              <w:top w:val="nil"/>
              <w:left w:val="nil"/>
              <w:bottom w:val="nil"/>
              <w:right w:val="nil"/>
            </w:tcBorders>
            <w:shd w:val="clear" w:color="auto" w:fill="auto"/>
            <w:noWrap/>
            <w:vAlign w:val="center"/>
            <w:hideMark/>
          </w:tcPr>
          <w:p w14:paraId="78FA8AAC" w14:textId="77777777" w:rsidR="006304E8" w:rsidRPr="00290B01" w:rsidRDefault="006304E8" w:rsidP="000B68BF">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center"/>
            <w:hideMark/>
          </w:tcPr>
          <w:p w14:paraId="3EA6E04C" w14:textId="35A43F5C" w:rsidR="006304E8" w:rsidRPr="00290B01" w:rsidRDefault="00DD648A" w:rsidP="000B68BF">
            <w:pPr>
              <w:jc w:val="right"/>
              <w:rPr>
                <w:rFonts w:eastAsia="Times New Roman" w:cs="Times New Roman"/>
                <w:sz w:val="18"/>
                <w:szCs w:val="18"/>
                <w:lang w:eastAsia="en-GB"/>
              </w:rPr>
            </w:pPr>
            <w:r>
              <w:rPr>
                <w:rFonts w:eastAsia="Times New Roman" w:cs="Times New Roman"/>
                <w:sz w:val="18"/>
                <w:szCs w:val="18"/>
                <w:lang w:eastAsia="en-GB"/>
              </w:rPr>
              <w:t>163,752</w:t>
            </w:r>
          </w:p>
        </w:tc>
        <w:tc>
          <w:tcPr>
            <w:tcW w:w="1560" w:type="dxa"/>
            <w:tcBorders>
              <w:top w:val="nil"/>
              <w:left w:val="nil"/>
              <w:bottom w:val="nil"/>
              <w:right w:val="nil"/>
            </w:tcBorders>
            <w:shd w:val="clear" w:color="auto" w:fill="auto"/>
            <w:noWrap/>
            <w:vAlign w:val="center"/>
          </w:tcPr>
          <w:p w14:paraId="22F7882C" w14:textId="7D8DAFF8" w:rsidR="006304E8" w:rsidRPr="00290B01" w:rsidRDefault="006304E8" w:rsidP="000B68BF">
            <w:pPr>
              <w:jc w:val="right"/>
              <w:rPr>
                <w:rFonts w:eastAsia="Times New Roman" w:cs="Times New Roman"/>
                <w:color w:val="000000"/>
                <w:sz w:val="18"/>
                <w:szCs w:val="18"/>
                <w:lang w:eastAsia="en-GB"/>
              </w:rPr>
            </w:pPr>
            <w:r w:rsidRPr="006304E8">
              <w:rPr>
                <w:rFonts w:eastAsia="Times New Roman" w:cs="Times New Roman"/>
                <w:color w:val="000000"/>
                <w:sz w:val="18"/>
                <w:szCs w:val="18"/>
                <w:lang w:eastAsia="en-GB"/>
              </w:rPr>
              <w:t>1,106</w:t>
            </w:r>
          </w:p>
        </w:tc>
      </w:tr>
      <w:tr w:rsidR="006304E8" w:rsidRPr="00290B01" w14:paraId="2BAB8C7C" w14:textId="77777777" w:rsidTr="000B68BF">
        <w:trPr>
          <w:trHeight w:val="300"/>
        </w:trPr>
        <w:tc>
          <w:tcPr>
            <w:tcW w:w="5245" w:type="dxa"/>
            <w:tcBorders>
              <w:top w:val="single" w:sz="8" w:space="0" w:color="auto"/>
              <w:left w:val="nil"/>
              <w:bottom w:val="double" w:sz="6" w:space="0" w:color="auto"/>
              <w:right w:val="nil"/>
            </w:tcBorders>
            <w:shd w:val="clear" w:color="auto" w:fill="auto"/>
            <w:noWrap/>
            <w:vAlign w:val="center"/>
            <w:hideMark/>
          </w:tcPr>
          <w:p w14:paraId="7B2C9A37" w14:textId="6800B141" w:rsidR="006304E8" w:rsidRPr="00290B01" w:rsidRDefault="006304E8" w:rsidP="000B68BF">
            <w:pPr>
              <w:rPr>
                <w:rFonts w:eastAsia="Times New Roman" w:cs="Times New Roman"/>
                <w:b/>
                <w:bCs/>
                <w:color w:val="000000"/>
                <w:sz w:val="18"/>
                <w:szCs w:val="18"/>
                <w:lang w:eastAsia="en-GB"/>
              </w:rPr>
            </w:pPr>
            <w:r w:rsidRPr="006304E8">
              <w:rPr>
                <w:rFonts w:eastAsia="Times New Roman" w:cs="Times New Roman"/>
                <w:b/>
                <w:bCs/>
                <w:color w:val="000000"/>
                <w:sz w:val="18"/>
                <w:szCs w:val="18"/>
                <w:lang w:eastAsia="en-GB"/>
              </w:rPr>
              <w:t>Deferred acquisition costs as at 31 December</w:t>
            </w:r>
          </w:p>
        </w:tc>
        <w:tc>
          <w:tcPr>
            <w:tcW w:w="709" w:type="dxa"/>
            <w:tcBorders>
              <w:top w:val="single" w:sz="8" w:space="0" w:color="auto"/>
              <w:left w:val="nil"/>
              <w:bottom w:val="double" w:sz="6" w:space="0" w:color="auto"/>
              <w:right w:val="nil"/>
            </w:tcBorders>
            <w:shd w:val="clear" w:color="auto" w:fill="auto"/>
            <w:noWrap/>
            <w:vAlign w:val="center"/>
            <w:hideMark/>
          </w:tcPr>
          <w:p w14:paraId="79252D42" w14:textId="77777777" w:rsidR="006304E8" w:rsidRPr="00290B01" w:rsidRDefault="006304E8" w:rsidP="000B68BF">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center"/>
            <w:hideMark/>
          </w:tcPr>
          <w:p w14:paraId="224631CB" w14:textId="451C3FD2" w:rsidR="006304E8" w:rsidRPr="00290B01" w:rsidRDefault="006304E8" w:rsidP="000B68BF">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r w:rsidR="00DD648A">
              <w:rPr>
                <w:rFonts w:eastAsia="Times New Roman" w:cs="Times New Roman"/>
                <w:b/>
                <w:bCs/>
                <w:color w:val="000000"/>
                <w:sz w:val="18"/>
                <w:szCs w:val="18"/>
                <w:lang w:eastAsia="en-GB"/>
              </w:rPr>
              <w:t>209,102</w:t>
            </w:r>
          </w:p>
        </w:tc>
        <w:tc>
          <w:tcPr>
            <w:tcW w:w="1560" w:type="dxa"/>
            <w:tcBorders>
              <w:top w:val="single" w:sz="8" w:space="0" w:color="auto"/>
              <w:left w:val="nil"/>
              <w:bottom w:val="double" w:sz="6" w:space="0" w:color="auto"/>
              <w:right w:val="nil"/>
            </w:tcBorders>
            <w:shd w:val="clear" w:color="auto" w:fill="auto"/>
            <w:noWrap/>
            <w:vAlign w:val="center"/>
          </w:tcPr>
          <w:p w14:paraId="79F0F31D" w14:textId="099F1EDC" w:rsidR="006304E8" w:rsidRPr="00290B01" w:rsidRDefault="006304E8" w:rsidP="000B68BF">
            <w:pPr>
              <w:jc w:val="right"/>
              <w:rPr>
                <w:rFonts w:eastAsia="Times New Roman" w:cs="Times New Roman"/>
                <w:b/>
                <w:bCs/>
                <w:color w:val="000000"/>
                <w:sz w:val="18"/>
                <w:szCs w:val="18"/>
                <w:lang w:val="en-US" w:eastAsia="en-GB"/>
              </w:rPr>
            </w:pPr>
            <w:r w:rsidRPr="006304E8">
              <w:rPr>
                <w:rFonts w:eastAsia="Times New Roman" w:cs="Times New Roman"/>
                <w:b/>
                <w:bCs/>
                <w:color w:val="000000"/>
                <w:sz w:val="18"/>
                <w:szCs w:val="18"/>
                <w:lang w:val="en-US" w:eastAsia="en-GB"/>
              </w:rPr>
              <w:t>45,350</w:t>
            </w:r>
          </w:p>
        </w:tc>
      </w:tr>
    </w:tbl>
    <w:p w14:paraId="60FD2E89" w14:textId="7D8D118B" w:rsidR="000B68BF" w:rsidRDefault="000B68BF" w:rsidP="00C42AF6">
      <w:pPr>
        <w:pStyle w:val="ListParagraph"/>
        <w:numPr>
          <w:ilvl w:val="0"/>
          <w:numId w:val="1"/>
        </w:numPr>
        <w:spacing w:before="120" w:after="120"/>
        <w:outlineLvl w:val="0"/>
        <w:rPr>
          <w:b/>
          <w:bCs/>
          <w:sz w:val="18"/>
          <w:szCs w:val="18"/>
          <w:lang w:val="en-US"/>
        </w:rPr>
      </w:pPr>
      <w:bookmarkStart w:id="52" w:name="_Toc57894896"/>
      <w:r>
        <w:rPr>
          <w:b/>
          <w:bCs/>
          <w:sz w:val="18"/>
          <w:szCs w:val="18"/>
          <w:lang w:val="en-US"/>
        </w:rPr>
        <w:lastRenderedPageBreak/>
        <w:t>Property and equipment</w:t>
      </w:r>
      <w:bookmarkEnd w:id="52"/>
    </w:p>
    <w:p w14:paraId="27E6F051" w14:textId="07628046" w:rsidR="000B68BF" w:rsidRPr="000B68BF" w:rsidRDefault="000B68BF" w:rsidP="000B68BF">
      <w:pPr>
        <w:spacing w:before="120" w:after="120"/>
        <w:rPr>
          <w:sz w:val="18"/>
          <w:szCs w:val="18"/>
          <w:lang w:val="en-US"/>
        </w:rPr>
      </w:pPr>
      <w:r w:rsidRPr="000B68BF">
        <w:rPr>
          <w:sz w:val="18"/>
          <w:szCs w:val="18"/>
          <w:lang w:val="en-US"/>
        </w:rPr>
        <w:t>Movements in property and equipment for the year ended 31 December 2019 were as follow:</w:t>
      </w:r>
    </w:p>
    <w:tbl>
      <w:tblPr>
        <w:tblW w:w="5000" w:type="pct"/>
        <w:tblLook w:val="04A0" w:firstRow="1" w:lastRow="0" w:firstColumn="1" w:lastColumn="0" w:noHBand="0" w:noVBand="1"/>
      </w:tblPr>
      <w:tblGrid>
        <w:gridCol w:w="2433"/>
        <w:gridCol w:w="1048"/>
        <w:gridCol w:w="1048"/>
        <w:gridCol w:w="1159"/>
        <w:gridCol w:w="1048"/>
        <w:gridCol w:w="942"/>
        <w:gridCol w:w="1087"/>
      </w:tblGrid>
      <w:tr w:rsidR="000B68BF" w:rsidRPr="00EC690A" w14:paraId="3BAC3D4A" w14:textId="77777777" w:rsidTr="000B68BF">
        <w:trPr>
          <w:trHeight w:val="900"/>
        </w:trPr>
        <w:tc>
          <w:tcPr>
            <w:tcW w:w="1384" w:type="pct"/>
            <w:tcBorders>
              <w:top w:val="nil"/>
              <w:left w:val="nil"/>
              <w:bottom w:val="single" w:sz="4" w:space="0" w:color="auto"/>
              <w:right w:val="nil"/>
            </w:tcBorders>
            <w:shd w:val="clear" w:color="auto" w:fill="auto"/>
            <w:vAlign w:val="bottom"/>
            <w:hideMark/>
          </w:tcPr>
          <w:p w14:paraId="12D65CCD" w14:textId="77777777" w:rsidR="000B68BF" w:rsidRPr="00EC690A" w:rsidRDefault="000B68BF" w:rsidP="000B68BF">
            <w:pPr>
              <w:jc w:val="center"/>
              <w:rPr>
                <w:color w:val="000000"/>
                <w:sz w:val="18"/>
                <w:szCs w:val="18"/>
                <w:lang w:eastAsia="en-GB"/>
              </w:rPr>
            </w:pPr>
            <w:r w:rsidRPr="00EC690A">
              <w:rPr>
                <w:color w:val="000000"/>
                <w:sz w:val="18"/>
                <w:szCs w:val="18"/>
                <w:lang w:eastAsia="en-GB"/>
              </w:rPr>
              <w:t> </w:t>
            </w:r>
          </w:p>
        </w:tc>
        <w:tc>
          <w:tcPr>
            <w:tcW w:w="551" w:type="pct"/>
            <w:tcBorders>
              <w:top w:val="nil"/>
              <w:left w:val="nil"/>
              <w:bottom w:val="single" w:sz="4" w:space="0" w:color="auto"/>
              <w:right w:val="nil"/>
            </w:tcBorders>
            <w:shd w:val="clear" w:color="auto" w:fill="auto"/>
            <w:vAlign w:val="bottom"/>
            <w:hideMark/>
          </w:tcPr>
          <w:p w14:paraId="44B2CF55"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Buildings</w:t>
            </w:r>
          </w:p>
        </w:tc>
        <w:tc>
          <w:tcPr>
            <w:tcW w:w="583" w:type="pct"/>
            <w:tcBorders>
              <w:top w:val="nil"/>
              <w:left w:val="nil"/>
              <w:bottom w:val="single" w:sz="4" w:space="0" w:color="auto"/>
              <w:right w:val="nil"/>
            </w:tcBorders>
            <w:shd w:val="clear" w:color="auto" w:fill="auto"/>
            <w:vAlign w:val="bottom"/>
            <w:hideMark/>
          </w:tcPr>
          <w:p w14:paraId="1AC8C5D3"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Furniture &amp;fixtures</w:t>
            </w:r>
          </w:p>
        </w:tc>
        <w:tc>
          <w:tcPr>
            <w:tcW w:w="787" w:type="pct"/>
            <w:tcBorders>
              <w:top w:val="nil"/>
              <w:left w:val="nil"/>
              <w:bottom w:val="single" w:sz="4" w:space="0" w:color="auto"/>
              <w:right w:val="nil"/>
            </w:tcBorders>
            <w:shd w:val="clear" w:color="auto" w:fill="auto"/>
            <w:vAlign w:val="bottom"/>
            <w:hideMark/>
          </w:tcPr>
          <w:p w14:paraId="2359F03E"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Computers &amp; equipment</w:t>
            </w:r>
          </w:p>
        </w:tc>
        <w:tc>
          <w:tcPr>
            <w:tcW w:w="606" w:type="pct"/>
            <w:tcBorders>
              <w:top w:val="nil"/>
              <w:left w:val="nil"/>
              <w:bottom w:val="single" w:sz="4" w:space="0" w:color="auto"/>
              <w:right w:val="nil"/>
            </w:tcBorders>
            <w:shd w:val="clear" w:color="auto" w:fill="auto"/>
            <w:vAlign w:val="bottom"/>
            <w:hideMark/>
          </w:tcPr>
          <w:p w14:paraId="4C624407"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Vehicles</w:t>
            </w:r>
          </w:p>
        </w:tc>
        <w:tc>
          <w:tcPr>
            <w:tcW w:w="493" w:type="pct"/>
            <w:tcBorders>
              <w:top w:val="nil"/>
              <w:left w:val="nil"/>
              <w:bottom w:val="single" w:sz="4" w:space="0" w:color="auto"/>
              <w:right w:val="nil"/>
            </w:tcBorders>
            <w:shd w:val="clear" w:color="auto" w:fill="auto"/>
            <w:vAlign w:val="bottom"/>
            <w:hideMark/>
          </w:tcPr>
          <w:p w14:paraId="70D8A1A6"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Other</w:t>
            </w:r>
          </w:p>
        </w:tc>
        <w:tc>
          <w:tcPr>
            <w:tcW w:w="594" w:type="pct"/>
            <w:tcBorders>
              <w:top w:val="nil"/>
              <w:left w:val="nil"/>
              <w:bottom w:val="single" w:sz="4" w:space="0" w:color="auto"/>
              <w:right w:val="nil"/>
            </w:tcBorders>
            <w:shd w:val="clear" w:color="auto" w:fill="auto"/>
            <w:vAlign w:val="bottom"/>
            <w:hideMark/>
          </w:tcPr>
          <w:p w14:paraId="41BE46BB"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Total</w:t>
            </w:r>
          </w:p>
        </w:tc>
      </w:tr>
      <w:tr w:rsidR="000B68BF" w:rsidRPr="00EC690A" w14:paraId="6B07426C" w14:textId="77777777" w:rsidTr="000B68BF">
        <w:trPr>
          <w:trHeight w:val="300"/>
        </w:trPr>
        <w:tc>
          <w:tcPr>
            <w:tcW w:w="1384" w:type="pct"/>
            <w:tcBorders>
              <w:top w:val="nil"/>
              <w:left w:val="nil"/>
              <w:bottom w:val="nil"/>
              <w:right w:val="nil"/>
            </w:tcBorders>
            <w:shd w:val="clear" w:color="auto" w:fill="auto"/>
            <w:noWrap/>
            <w:vAlign w:val="bottom"/>
            <w:hideMark/>
          </w:tcPr>
          <w:p w14:paraId="59B8130D" w14:textId="77777777" w:rsidR="000B68BF" w:rsidRPr="00EC690A" w:rsidRDefault="000B68BF" w:rsidP="000B68BF">
            <w:pPr>
              <w:rPr>
                <w:color w:val="000000"/>
                <w:sz w:val="18"/>
                <w:szCs w:val="18"/>
                <w:lang w:eastAsia="en-GB"/>
              </w:rPr>
            </w:pPr>
          </w:p>
        </w:tc>
        <w:tc>
          <w:tcPr>
            <w:tcW w:w="551" w:type="pct"/>
            <w:tcBorders>
              <w:top w:val="nil"/>
              <w:left w:val="nil"/>
              <w:bottom w:val="nil"/>
              <w:right w:val="nil"/>
            </w:tcBorders>
            <w:shd w:val="clear" w:color="auto" w:fill="auto"/>
            <w:noWrap/>
            <w:vAlign w:val="bottom"/>
            <w:hideMark/>
          </w:tcPr>
          <w:p w14:paraId="05BFCB65" w14:textId="77777777" w:rsidR="000B68BF" w:rsidRPr="00EC690A" w:rsidRDefault="000B68BF" w:rsidP="000B68BF">
            <w:pPr>
              <w:rPr>
                <w:color w:val="000000"/>
                <w:sz w:val="18"/>
                <w:szCs w:val="18"/>
                <w:lang w:eastAsia="en-GB"/>
              </w:rPr>
            </w:pPr>
          </w:p>
        </w:tc>
        <w:tc>
          <w:tcPr>
            <w:tcW w:w="583" w:type="pct"/>
            <w:tcBorders>
              <w:top w:val="nil"/>
              <w:left w:val="nil"/>
              <w:bottom w:val="nil"/>
              <w:right w:val="nil"/>
            </w:tcBorders>
            <w:shd w:val="clear" w:color="auto" w:fill="auto"/>
            <w:noWrap/>
            <w:vAlign w:val="bottom"/>
            <w:hideMark/>
          </w:tcPr>
          <w:p w14:paraId="29EA83DC" w14:textId="77777777" w:rsidR="000B68BF" w:rsidRPr="00EC690A" w:rsidRDefault="000B68BF" w:rsidP="000B68BF">
            <w:pPr>
              <w:rPr>
                <w:color w:val="000000"/>
                <w:sz w:val="18"/>
                <w:szCs w:val="18"/>
                <w:lang w:eastAsia="en-GB"/>
              </w:rPr>
            </w:pPr>
          </w:p>
        </w:tc>
        <w:tc>
          <w:tcPr>
            <w:tcW w:w="787" w:type="pct"/>
            <w:tcBorders>
              <w:top w:val="nil"/>
              <w:left w:val="nil"/>
              <w:bottom w:val="nil"/>
              <w:right w:val="nil"/>
            </w:tcBorders>
            <w:shd w:val="clear" w:color="auto" w:fill="auto"/>
            <w:noWrap/>
            <w:vAlign w:val="bottom"/>
            <w:hideMark/>
          </w:tcPr>
          <w:p w14:paraId="24D1622B" w14:textId="77777777" w:rsidR="000B68BF" w:rsidRPr="00EC690A" w:rsidRDefault="000B68BF" w:rsidP="000B68BF">
            <w:pPr>
              <w:rPr>
                <w:color w:val="000000"/>
                <w:sz w:val="18"/>
                <w:szCs w:val="18"/>
                <w:lang w:eastAsia="en-GB"/>
              </w:rPr>
            </w:pPr>
          </w:p>
        </w:tc>
        <w:tc>
          <w:tcPr>
            <w:tcW w:w="606" w:type="pct"/>
            <w:tcBorders>
              <w:top w:val="nil"/>
              <w:left w:val="nil"/>
              <w:bottom w:val="nil"/>
              <w:right w:val="nil"/>
            </w:tcBorders>
            <w:shd w:val="clear" w:color="auto" w:fill="auto"/>
            <w:noWrap/>
            <w:vAlign w:val="bottom"/>
            <w:hideMark/>
          </w:tcPr>
          <w:p w14:paraId="0FAFDDE5" w14:textId="77777777" w:rsidR="000B68BF" w:rsidRPr="00EC690A" w:rsidRDefault="000B68BF" w:rsidP="000B68BF">
            <w:pPr>
              <w:rPr>
                <w:color w:val="000000"/>
                <w:sz w:val="18"/>
                <w:szCs w:val="18"/>
                <w:lang w:eastAsia="en-GB"/>
              </w:rPr>
            </w:pPr>
          </w:p>
        </w:tc>
        <w:tc>
          <w:tcPr>
            <w:tcW w:w="493" w:type="pct"/>
            <w:tcBorders>
              <w:top w:val="nil"/>
              <w:left w:val="nil"/>
              <w:bottom w:val="nil"/>
              <w:right w:val="nil"/>
            </w:tcBorders>
            <w:shd w:val="clear" w:color="auto" w:fill="auto"/>
            <w:noWrap/>
            <w:vAlign w:val="bottom"/>
            <w:hideMark/>
          </w:tcPr>
          <w:p w14:paraId="68E05E99" w14:textId="77777777" w:rsidR="000B68BF" w:rsidRPr="00EC690A" w:rsidRDefault="000B68BF" w:rsidP="000B68BF">
            <w:pPr>
              <w:rPr>
                <w:color w:val="000000"/>
                <w:sz w:val="18"/>
                <w:szCs w:val="18"/>
                <w:lang w:eastAsia="en-GB"/>
              </w:rPr>
            </w:pPr>
          </w:p>
        </w:tc>
        <w:tc>
          <w:tcPr>
            <w:tcW w:w="594" w:type="pct"/>
            <w:tcBorders>
              <w:top w:val="nil"/>
              <w:left w:val="nil"/>
              <w:bottom w:val="nil"/>
              <w:right w:val="nil"/>
            </w:tcBorders>
            <w:shd w:val="clear" w:color="auto" w:fill="auto"/>
            <w:noWrap/>
            <w:vAlign w:val="bottom"/>
            <w:hideMark/>
          </w:tcPr>
          <w:p w14:paraId="029A0D92" w14:textId="77777777" w:rsidR="000B68BF" w:rsidRPr="00EC690A" w:rsidRDefault="000B68BF" w:rsidP="000B68BF">
            <w:pPr>
              <w:rPr>
                <w:b/>
                <w:bCs/>
                <w:color w:val="000000"/>
                <w:sz w:val="18"/>
                <w:szCs w:val="18"/>
                <w:lang w:eastAsia="en-GB"/>
              </w:rPr>
            </w:pPr>
          </w:p>
        </w:tc>
      </w:tr>
      <w:tr w:rsidR="000B68BF" w:rsidRPr="00EC690A" w14:paraId="553039EF" w14:textId="77777777" w:rsidTr="000B68BF">
        <w:trPr>
          <w:trHeight w:val="300"/>
        </w:trPr>
        <w:tc>
          <w:tcPr>
            <w:tcW w:w="1384" w:type="pct"/>
            <w:tcBorders>
              <w:top w:val="nil"/>
              <w:left w:val="nil"/>
              <w:bottom w:val="nil"/>
              <w:right w:val="nil"/>
            </w:tcBorders>
            <w:shd w:val="clear" w:color="auto" w:fill="auto"/>
            <w:noWrap/>
            <w:vAlign w:val="bottom"/>
            <w:hideMark/>
          </w:tcPr>
          <w:p w14:paraId="108C25C5" w14:textId="77777777" w:rsidR="000B68BF" w:rsidRPr="00EC690A" w:rsidRDefault="000B68BF" w:rsidP="000B68BF">
            <w:pPr>
              <w:rPr>
                <w:b/>
                <w:bCs/>
                <w:color w:val="000000"/>
                <w:sz w:val="18"/>
                <w:szCs w:val="18"/>
                <w:lang w:eastAsia="en-GB"/>
              </w:rPr>
            </w:pPr>
            <w:r w:rsidRPr="00EC690A">
              <w:rPr>
                <w:b/>
                <w:bCs/>
                <w:color w:val="000000"/>
                <w:sz w:val="18"/>
                <w:szCs w:val="18"/>
                <w:lang w:eastAsia="en-GB"/>
              </w:rPr>
              <w:t>Book value</w:t>
            </w:r>
          </w:p>
        </w:tc>
        <w:tc>
          <w:tcPr>
            <w:tcW w:w="551" w:type="pct"/>
            <w:tcBorders>
              <w:top w:val="nil"/>
              <w:left w:val="nil"/>
              <w:bottom w:val="nil"/>
              <w:right w:val="nil"/>
            </w:tcBorders>
            <w:shd w:val="clear" w:color="auto" w:fill="auto"/>
            <w:noWrap/>
            <w:vAlign w:val="bottom"/>
            <w:hideMark/>
          </w:tcPr>
          <w:p w14:paraId="6B91BCC6" w14:textId="77777777" w:rsidR="000B68BF" w:rsidRPr="00EC690A" w:rsidRDefault="000B68BF" w:rsidP="000B68BF">
            <w:pPr>
              <w:rPr>
                <w:color w:val="000000"/>
                <w:sz w:val="18"/>
                <w:szCs w:val="18"/>
                <w:lang w:eastAsia="en-GB"/>
              </w:rPr>
            </w:pPr>
          </w:p>
        </w:tc>
        <w:tc>
          <w:tcPr>
            <w:tcW w:w="583" w:type="pct"/>
            <w:tcBorders>
              <w:top w:val="nil"/>
              <w:left w:val="nil"/>
              <w:bottom w:val="nil"/>
              <w:right w:val="nil"/>
            </w:tcBorders>
            <w:shd w:val="clear" w:color="auto" w:fill="auto"/>
            <w:noWrap/>
            <w:vAlign w:val="bottom"/>
            <w:hideMark/>
          </w:tcPr>
          <w:p w14:paraId="5103D956" w14:textId="77777777" w:rsidR="000B68BF" w:rsidRPr="00EC690A" w:rsidRDefault="000B68BF" w:rsidP="000B68BF">
            <w:pPr>
              <w:rPr>
                <w:color w:val="000000"/>
                <w:sz w:val="18"/>
                <w:szCs w:val="18"/>
                <w:lang w:eastAsia="en-GB"/>
              </w:rPr>
            </w:pPr>
          </w:p>
        </w:tc>
        <w:tc>
          <w:tcPr>
            <w:tcW w:w="787" w:type="pct"/>
            <w:tcBorders>
              <w:top w:val="nil"/>
              <w:left w:val="nil"/>
              <w:bottom w:val="nil"/>
              <w:right w:val="nil"/>
            </w:tcBorders>
            <w:shd w:val="clear" w:color="auto" w:fill="auto"/>
            <w:noWrap/>
            <w:vAlign w:val="bottom"/>
            <w:hideMark/>
          </w:tcPr>
          <w:p w14:paraId="1BB5972E" w14:textId="77777777" w:rsidR="000B68BF" w:rsidRPr="00EC690A" w:rsidRDefault="000B68BF" w:rsidP="000B68BF">
            <w:pPr>
              <w:rPr>
                <w:color w:val="000000"/>
                <w:sz w:val="18"/>
                <w:szCs w:val="18"/>
                <w:lang w:eastAsia="en-GB"/>
              </w:rPr>
            </w:pPr>
          </w:p>
        </w:tc>
        <w:tc>
          <w:tcPr>
            <w:tcW w:w="606" w:type="pct"/>
            <w:tcBorders>
              <w:top w:val="nil"/>
              <w:left w:val="nil"/>
              <w:bottom w:val="nil"/>
              <w:right w:val="nil"/>
            </w:tcBorders>
            <w:shd w:val="clear" w:color="auto" w:fill="auto"/>
            <w:noWrap/>
            <w:vAlign w:val="bottom"/>
            <w:hideMark/>
          </w:tcPr>
          <w:p w14:paraId="20757882" w14:textId="77777777" w:rsidR="000B68BF" w:rsidRPr="00EC690A" w:rsidRDefault="000B68BF" w:rsidP="000B68BF">
            <w:pPr>
              <w:rPr>
                <w:color w:val="000000"/>
                <w:sz w:val="18"/>
                <w:szCs w:val="18"/>
                <w:lang w:eastAsia="en-GB"/>
              </w:rPr>
            </w:pPr>
          </w:p>
        </w:tc>
        <w:tc>
          <w:tcPr>
            <w:tcW w:w="493" w:type="pct"/>
            <w:tcBorders>
              <w:top w:val="nil"/>
              <w:left w:val="nil"/>
              <w:bottom w:val="nil"/>
              <w:right w:val="nil"/>
            </w:tcBorders>
            <w:shd w:val="clear" w:color="auto" w:fill="auto"/>
            <w:noWrap/>
            <w:vAlign w:val="bottom"/>
            <w:hideMark/>
          </w:tcPr>
          <w:p w14:paraId="559CE0ED" w14:textId="77777777" w:rsidR="000B68BF" w:rsidRPr="00EC690A" w:rsidRDefault="000B68BF" w:rsidP="000B68BF">
            <w:pPr>
              <w:rPr>
                <w:color w:val="000000"/>
                <w:sz w:val="18"/>
                <w:szCs w:val="18"/>
                <w:lang w:eastAsia="en-GB"/>
              </w:rPr>
            </w:pPr>
          </w:p>
        </w:tc>
        <w:tc>
          <w:tcPr>
            <w:tcW w:w="594" w:type="pct"/>
            <w:tcBorders>
              <w:top w:val="nil"/>
              <w:left w:val="nil"/>
              <w:bottom w:val="nil"/>
              <w:right w:val="nil"/>
            </w:tcBorders>
            <w:shd w:val="clear" w:color="auto" w:fill="auto"/>
            <w:noWrap/>
            <w:vAlign w:val="bottom"/>
            <w:hideMark/>
          </w:tcPr>
          <w:p w14:paraId="7E6DCBCC" w14:textId="77777777" w:rsidR="000B68BF" w:rsidRPr="00EC690A" w:rsidRDefault="000B68BF" w:rsidP="000B68BF">
            <w:pPr>
              <w:rPr>
                <w:color w:val="000000"/>
                <w:sz w:val="18"/>
                <w:szCs w:val="18"/>
                <w:lang w:eastAsia="en-GB"/>
              </w:rPr>
            </w:pPr>
          </w:p>
        </w:tc>
      </w:tr>
      <w:tr w:rsidR="000B68BF" w:rsidRPr="00EC690A" w14:paraId="54B103BD" w14:textId="77777777" w:rsidTr="000B68BF">
        <w:trPr>
          <w:trHeight w:val="300"/>
        </w:trPr>
        <w:tc>
          <w:tcPr>
            <w:tcW w:w="1384" w:type="pct"/>
            <w:tcBorders>
              <w:top w:val="nil"/>
              <w:left w:val="nil"/>
              <w:bottom w:val="nil"/>
              <w:right w:val="nil"/>
            </w:tcBorders>
            <w:shd w:val="clear" w:color="auto" w:fill="auto"/>
            <w:noWrap/>
            <w:vAlign w:val="bottom"/>
            <w:hideMark/>
          </w:tcPr>
          <w:p w14:paraId="362B6429" w14:textId="68226AFF" w:rsidR="000B68BF" w:rsidRPr="00EC690A" w:rsidRDefault="000B68BF" w:rsidP="000B68BF">
            <w:pPr>
              <w:rPr>
                <w:color w:val="000000"/>
                <w:sz w:val="18"/>
                <w:szCs w:val="18"/>
                <w:lang w:eastAsia="en-GB"/>
              </w:rPr>
            </w:pPr>
            <w:r w:rsidRPr="00EC690A">
              <w:rPr>
                <w:color w:val="000000"/>
                <w:sz w:val="18"/>
                <w:szCs w:val="18"/>
                <w:lang w:eastAsia="en-GB"/>
              </w:rPr>
              <w:t>31 December 201</w:t>
            </w:r>
            <w:r>
              <w:rPr>
                <w:color w:val="000000"/>
                <w:sz w:val="18"/>
                <w:szCs w:val="18"/>
                <w:lang w:eastAsia="en-GB"/>
              </w:rPr>
              <w:t>8</w:t>
            </w:r>
          </w:p>
        </w:tc>
        <w:tc>
          <w:tcPr>
            <w:tcW w:w="551" w:type="pct"/>
            <w:tcBorders>
              <w:top w:val="nil"/>
              <w:left w:val="nil"/>
              <w:bottom w:val="nil"/>
              <w:right w:val="nil"/>
            </w:tcBorders>
            <w:shd w:val="clear" w:color="auto" w:fill="auto"/>
            <w:noWrap/>
            <w:vAlign w:val="bottom"/>
          </w:tcPr>
          <w:p w14:paraId="39AE46AC" w14:textId="4147E0CB" w:rsidR="000B68BF" w:rsidRPr="00EC690A" w:rsidRDefault="000B68BF" w:rsidP="000B68BF">
            <w:pPr>
              <w:jc w:val="right"/>
              <w:rPr>
                <w:color w:val="000000"/>
                <w:sz w:val="18"/>
                <w:szCs w:val="18"/>
                <w:lang w:eastAsia="en-GB"/>
              </w:rPr>
            </w:pPr>
            <w:r>
              <w:rPr>
                <w:color w:val="000000"/>
                <w:sz w:val="18"/>
                <w:szCs w:val="18"/>
                <w:lang w:eastAsia="en-GB"/>
              </w:rPr>
              <w:t>346,850</w:t>
            </w:r>
          </w:p>
        </w:tc>
        <w:tc>
          <w:tcPr>
            <w:tcW w:w="583" w:type="pct"/>
            <w:tcBorders>
              <w:top w:val="nil"/>
              <w:left w:val="nil"/>
              <w:bottom w:val="nil"/>
              <w:right w:val="nil"/>
            </w:tcBorders>
            <w:shd w:val="clear" w:color="auto" w:fill="auto"/>
            <w:noWrap/>
            <w:vAlign w:val="bottom"/>
          </w:tcPr>
          <w:p w14:paraId="6DD9FCCA" w14:textId="4E990EB9" w:rsidR="000B68BF" w:rsidRPr="00EC690A" w:rsidRDefault="000B68BF" w:rsidP="000B68BF">
            <w:pPr>
              <w:jc w:val="right"/>
              <w:rPr>
                <w:color w:val="000000"/>
                <w:sz w:val="18"/>
                <w:szCs w:val="18"/>
                <w:lang w:eastAsia="en-GB"/>
              </w:rPr>
            </w:pPr>
            <w:r>
              <w:rPr>
                <w:color w:val="000000"/>
                <w:sz w:val="18"/>
                <w:szCs w:val="18"/>
                <w:lang w:eastAsia="en-GB"/>
              </w:rPr>
              <w:t>147,760</w:t>
            </w:r>
          </w:p>
        </w:tc>
        <w:tc>
          <w:tcPr>
            <w:tcW w:w="787" w:type="pct"/>
            <w:tcBorders>
              <w:top w:val="nil"/>
              <w:left w:val="nil"/>
              <w:bottom w:val="nil"/>
              <w:right w:val="nil"/>
            </w:tcBorders>
            <w:shd w:val="clear" w:color="auto" w:fill="auto"/>
            <w:noWrap/>
            <w:vAlign w:val="bottom"/>
          </w:tcPr>
          <w:p w14:paraId="5EC3B616" w14:textId="76CA99EA" w:rsidR="000B68BF" w:rsidRPr="00EC690A" w:rsidRDefault="000B68BF" w:rsidP="000B68BF">
            <w:pPr>
              <w:jc w:val="right"/>
              <w:rPr>
                <w:color w:val="000000"/>
                <w:sz w:val="18"/>
                <w:szCs w:val="18"/>
                <w:lang w:eastAsia="en-GB"/>
              </w:rPr>
            </w:pPr>
            <w:r>
              <w:rPr>
                <w:color w:val="000000"/>
                <w:sz w:val="18"/>
                <w:szCs w:val="18"/>
                <w:lang w:eastAsia="en-GB"/>
              </w:rPr>
              <w:t>107,823</w:t>
            </w:r>
          </w:p>
        </w:tc>
        <w:tc>
          <w:tcPr>
            <w:tcW w:w="606" w:type="pct"/>
            <w:tcBorders>
              <w:top w:val="nil"/>
              <w:left w:val="nil"/>
              <w:bottom w:val="nil"/>
              <w:right w:val="nil"/>
            </w:tcBorders>
            <w:shd w:val="clear" w:color="auto" w:fill="auto"/>
            <w:noWrap/>
            <w:vAlign w:val="bottom"/>
          </w:tcPr>
          <w:p w14:paraId="152D48A1" w14:textId="3E263779" w:rsidR="000B68BF" w:rsidRPr="00EC690A" w:rsidRDefault="000B68BF" w:rsidP="000B68BF">
            <w:pPr>
              <w:jc w:val="right"/>
              <w:rPr>
                <w:color w:val="000000"/>
                <w:sz w:val="18"/>
                <w:szCs w:val="18"/>
                <w:lang w:eastAsia="en-GB"/>
              </w:rPr>
            </w:pPr>
            <w:r>
              <w:rPr>
                <w:color w:val="000000"/>
                <w:sz w:val="18"/>
                <w:szCs w:val="18"/>
                <w:lang w:eastAsia="en-GB"/>
              </w:rPr>
              <w:t>224,411</w:t>
            </w:r>
          </w:p>
        </w:tc>
        <w:tc>
          <w:tcPr>
            <w:tcW w:w="493" w:type="pct"/>
            <w:tcBorders>
              <w:top w:val="nil"/>
              <w:left w:val="nil"/>
              <w:bottom w:val="nil"/>
              <w:right w:val="nil"/>
            </w:tcBorders>
            <w:shd w:val="clear" w:color="auto" w:fill="auto"/>
            <w:noWrap/>
            <w:vAlign w:val="bottom"/>
          </w:tcPr>
          <w:p w14:paraId="05480BC7" w14:textId="0A960671" w:rsidR="000B68BF" w:rsidRPr="00EC690A" w:rsidRDefault="000B68BF" w:rsidP="000B68BF">
            <w:pPr>
              <w:jc w:val="right"/>
              <w:rPr>
                <w:color w:val="000000"/>
                <w:sz w:val="18"/>
                <w:szCs w:val="18"/>
                <w:lang w:eastAsia="en-GB"/>
              </w:rPr>
            </w:pPr>
            <w:r>
              <w:rPr>
                <w:color w:val="000000"/>
                <w:sz w:val="18"/>
                <w:szCs w:val="18"/>
                <w:lang w:eastAsia="en-GB"/>
              </w:rPr>
              <w:t>12,697</w:t>
            </w:r>
          </w:p>
        </w:tc>
        <w:tc>
          <w:tcPr>
            <w:tcW w:w="594" w:type="pct"/>
            <w:tcBorders>
              <w:top w:val="nil"/>
              <w:left w:val="nil"/>
              <w:bottom w:val="nil"/>
              <w:right w:val="nil"/>
            </w:tcBorders>
            <w:shd w:val="clear" w:color="auto" w:fill="auto"/>
            <w:noWrap/>
            <w:vAlign w:val="bottom"/>
          </w:tcPr>
          <w:p w14:paraId="37F8891E" w14:textId="1D427D07" w:rsidR="000B68BF" w:rsidRPr="00EC690A" w:rsidRDefault="000B68BF" w:rsidP="000B68BF">
            <w:pPr>
              <w:jc w:val="right"/>
              <w:rPr>
                <w:b/>
                <w:bCs/>
                <w:color w:val="000000"/>
                <w:sz w:val="18"/>
                <w:szCs w:val="18"/>
                <w:lang w:eastAsia="en-GB"/>
              </w:rPr>
            </w:pPr>
            <w:r>
              <w:rPr>
                <w:b/>
                <w:bCs/>
                <w:color w:val="000000"/>
                <w:sz w:val="18"/>
                <w:szCs w:val="18"/>
                <w:lang w:eastAsia="en-GB"/>
              </w:rPr>
              <w:t>839,541</w:t>
            </w:r>
          </w:p>
        </w:tc>
      </w:tr>
      <w:tr w:rsidR="000B68BF" w:rsidRPr="00EC690A" w14:paraId="5CF04BCF" w14:textId="77777777" w:rsidTr="000B68BF">
        <w:trPr>
          <w:trHeight w:val="300"/>
        </w:trPr>
        <w:tc>
          <w:tcPr>
            <w:tcW w:w="1384" w:type="pct"/>
            <w:tcBorders>
              <w:top w:val="nil"/>
              <w:left w:val="nil"/>
              <w:bottom w:val="nil"/>
              <w:right w:val="nil"/>
            </w:tcBorders>
            <w:shd w:val="clear" w:color="auto" w:fill="auto"/>
            <w:noWrap/>
            <w:vAlign w:val="bottom"/>
            <w:hideMark/>
          </w:tcPr>
          <w:p w14:paraId="25E93A36" w14:textId="77777777" w:rsidR="000B68BF" w:rsidRPr="00EC690A" w:rsidRDefault="000B68BF" w:rsidP="000B68BF">
            <w:pPr>
              <w:rPr>
                <w:color w:val="000000"/>
                <w:sz w:val="18"/>
                <w:szCs w:val="18"/>
                <w:lang w:eastAsia="en-GB"/>
              </w:rPr>
            </w:pPr>
            <w:r w:rsidRPr="00EC690A">
              <w:rPr>
                <w:color w:val="000000"/>
                <w:sz w:val="18"/>
                <w:szCs w:val="18"/>
                <w:lang w:eastAsia="en-GB"/>
              </w:rPr>
              <w:t>Additions</w:t>
            </w:r>
          </w:p>
        </w:tc>
        <w:tc>
          <w:tcPr>
            <w:tcW w:w="551" w:type="pct"/>
            <w:tcBorders>
              <w:top w:val="nil"/>
              <w:left w:val="nil"/>
              <w:bottom w:val="nil"/>
              <w:right w:val="nil"/>
            </w:tcBorders>
            <w:shd w:val="clear" w:color="auto" w:fill="auto"/>
            <w:noWrap/>
            <w:vAlign w:val="bottom"/>
          </w:tcPr>
          <w:p w14:paraId="7F6AE734" w14:textId="191BCDFF" w:rsidR="000B68BF" w:rsidRPr="00EC690A" w:rsidRDefault="00925374" w:rsidP="000B68BF">
            <w:pPr>
              <w:jc w:val="right"/>
              <w:rPr>
                <w:color w:val="000000"/>
                <w:sz w:val="18"/>
                <w:szCs w:val="18"/>
                <w:lang w:eastAsia="en-GB"/>
              </w:rPr>
            </w:pPr>
            <w:r>
              <w:rPr>
                <w:color w:val="000000"/>
                <w:sz w:val="18"/>
                <w:szCs w:val="18"/>
                <w:lang w:eastAsia="en-GB"/>
              </w:rPr>
              <w:t>-</w:t>
            </w:r>
          </w:p>
        </w:tc>
        <w:tc>
          <w:tcPr>
            <w:tcW w:w="583" w:type="pct"/>
            <w:tcBorders>
              <w:top w:val="nil"/>
              <w:left w:val="nil"/>
              <w:bottom w:val="nil"/>
              <w:right w:val="nil"/>
            </w:tcBorders>
            <w:shd w:val="clear" w:color="auto" w:fill="auto"/>
            <w:noWrap/>
            <w:vAlign w:val="bottom"/>
          </w:tcPr>
          <w:p w14:paraId="4334C1EF" w14:textId="5ABA8115" w:rsidR="000B68BF" w:rsidRPr="00EC690A" w:rsidRDefault="00925374" w:rsidP="000B68BF">
            <w:pPr>
              <w:jc w:val="right"/>
              <w:rPr>
                <w:color w:val="000000"/>
                <w:sz w:val="18"/>
                <w:szCs w:val="18"/>
                <w:lang w:eastAsia="en-GB"/>
              </w:rPr>
            </w:pPr>
            <w:r>
              <w:rPr>
                <w:color w:val="000000"/>
                <w:sz w:val="18"/>
                <w:szCs w:val="18"/>
                <w:lang w:eastAsia="en-GB"/>
              </w:rPr>
              <w:t>-</w:t>
            </w:r>
          </w:p>
        </w:tc>
        <w:tc>
          <w:tcPr>
            <w:tcW w:w="787" w:type="pct"/>
            <w:tcBorders>
              <w:top w:val="nil"/>
              <w:left w:val="nil"/>
              <w:bottom w:val="nil"/>
              <w:right w:val="nil"/>
            </w:tcBorders>
            <w:shd w:val="clear" w:color="auto" w:fill="auto"/>
            <w:noWrap/>
            <w:vAlign w:val="bottom"/>
          </w:tcPr>
          <w:p w14:paraId="5A00B408" w14:textId="4D6BF0FF" w:rsidR="000B68BF" w:rsidRPr="00EC690A" w:rsidRDefault="00925374" w:rsidP="000B68BF">
            <w:pPr>
              <w:jc w:val="right"/>
              <w:rPr>
                <w:color w:val="000000"/>
                <w:sz w:val="18"/>
                <w:szCs w:val="18"/>
                <w:lang w:eastAsia="en-GB"/>
              </w:rPr>
            </w:pPr>
            <w:r>
              <w:rPr>
                <w:color w:val="000000"/>
                <w:sz w:val="18"/>
                <w:szCs w:val="18"/>
                <w:lang w:eastAsia="en-GB"/>
              </w:rPr>
              <w:t>16,327</w:t>
            </w:r>
          </w:p>
        </w:tc>
        <w:tc>
          <w:tcPr>
            <w:tcW w:w="606" w:type="pct"/>
            <w:tcBorders>
              <w:top w:val="nil"/>
              <w:left w:val="nil"/>
              <w:bottom w:val="nil"/>
              <w:right w:val="nil"/>
            </w:tcBorders>
            <w:shd w:val="clear" w:color="auto" w:fill="auto"/>
            <w:noWrap/>
            <w:vAlign w:val="bottom"/>
          </w:tcPr>
          <w:p w14:paraId="68077850" w14:textId="7CF4825E" w:rsidR="000B68BF" w:rsidRPr="00EC690A" w:rsidRDefault="00925374" w:rsidP="000B68BF">
            <w:pPr>
              <w:jc w:val="right"/>
              <w:rPr>
                <w:color w:val="000000"/>
                <w:sz w:val="18"/>
                <w:szCs w:val="18"/>
                <w:lang w:eastAsia="en-GB"/>
              </w:rPr>
            </w:pPr>
            <w:r>
              <w:rPr>
                <w:color w:val="000000"/>
                <w:sz w:val="18"/>
                <w:szCs w:val="18"/>
                <w:lang w:eastAsia="en-GB"/>
              </w:rPr>
              <w:t>335,961</w:t>
            </w:r>
          </w:p>
        </w:tc>
        <w:tc>
          <w:tcPr>
            <w:tcW w:w="493" w:type="pct"/>
            <w:tcBorders>
              <w:top w:val="nil"/>
              <w:left w:val="nil"/>
              <w:bottom w:val="nil"/>
              <w:right w:val="nil"/>
            </w:tcBorders>
            <w:shd w:val="clear" w:color="auto" w:fill="auto"/>
            <w:noWrap/>
            <w:vAlign w:val="bottom"/>
          </w:tcPr>
          <w:p w14:paraId="019F7400" w14:textId="4B3A4257" w:rsidR="000B68BF" w:rsidRPr="00EC690A" w:rsidRDefault="00925374" w:rsidP="000B68BF">
            <w:pPr>
              <w:jc w:val="right"/>
              <w:rPr>
                <w:color w:val="000000"/>
                <w:sz w:val="18"/>
                <w:szCs w:val="18"/>
                <w:lang w:eastAsia="en-GB"/>
              </w:rPr>
            </w:pPr>
            <w:r>
              <w:rPr>
                <w:color w:val="000000"/>
                <w:sz w:val="18"/>
                <w:szCs w:val="18"/>
                <w:lang w:eastAsia="en-GB"/>
              </w:rPr>
              <w:t>-</w:t>
            </w:r>
          </w:p>
        </w:tc>
        <w:tc>
          <w:tcPr>
            <w:tcW w:w="594" w:type="pct"/>
            <w:tcBorders>
              <w:top w:val="nil"/>
              <w:left w:val="nil"/>
              <w:bottom w:val="nil"/>
              <w:right w:val="nil"/>
            </w:tcBorders>
            <w:shd w:val="clear" w:color="auto" w:fill="auto"/>
            <w:noWrap/>
            <w:vAlign w:val="bottom"/>
          </w:tcPr>
          <w:p w14:paraId="5D31DCCB" w14:textId="47113A2B" w:rsidR="000B68BF" w:rsidRPr="00EC690A" w:rsidRDefault="00925374" w:rsidP="000B68BF">
            <w:pPr>
              <w:jc w:val="right"/>
              <w:rPr>
                <w:b/>
                <w:bCs/>
                <w:color w:val="000000"/>
                <w:sz w:val="18"/>
                <w:szCs w:val="18"/>
                <w:lang w:eastAsia="en-GB"/>
              </w:rPr>
            </w:pPr>
            <w:r>
              <w:rPr>
                <w:b/>
                <w:bCs/>
                <w:color w:val="000000"/>
                <w:sz w:val="18"/>
                <w:szCs w:val="18"/>
                <w:lang w:eastAsia="en-GB"/>
              </w:rPr>
              <w:t>352,288</w:t>
            </w:r>
          </w:p>
        </w:tc>
      </w:tr>
      <w:tr w:rsidR="000B68BF" w:rsidRPr="00EC690A" w14:paraId="12963FDC" w14:textId="77777777" w:rsidTr="000B68BF">
        <w:trPr>
          <w:trHeight w:val="300"/>
        </w:trPr>
        <w:tc>
          <w:tcPr>
            <w:tcW w:w="1384" w:type="pct"/>
            <w:tcBorders>
              <w:top w:val="nil"/>
              <w:left w:val="nil"/>
              <w:bottom w:val="nil"/>
              <w:right w:val="nil"/>
            </w:tcBorders>
            <w:shd w:val="clear" w:color="auto" w:fill="auto"/>
            <w:noWrap/>
            <w:vAlign w:val="bottom"/>
            <w:hideMark/>
          </w:tcPr>
          <w:p w14:paraId="7AD08060" w14:textId="77777777" w:rsidR="000B68BF" w:rsidRPr="00EC690A" w:rsidRDefault="000B68BF" w:rsidP="000B68BF">
            <w:pPr>
              <w:rPr>
                <w:color w:val="000000"/>
                <w:sz w:val="18"/>
                <w:szCs w:val="18"/>
                <w:lang w:eastAsia="en-GB"/>
              </w:rPr>
            </w:pPr>
            <w:r w:rsidRPr="00EC690A">
              <w:rPr>
                <w:color w:val="000000"/>
                <w:sz w:val="18"/>
                <w:szCs w:val="18"/>
                <w:lang w:eastAsia="en-GB"/>
              </w:rPr>
              <w:t>Disposals</w:t>
            </w:r>
          </w:p>
        </w:tc>
        <w:tc>
          <w:tcPr>
            <w:tcW w:w="551" w:type="pct"/>
            <w:tcBorders>
              <w:top w:val="nil"/>
              <w:left w:val="nil"/>
              <w:bottom w:val="nil"/>
              <w:right w:val="nil"/>
            </w:tcBorders>
            <w:shd w:val="clear" w:color="auto" w:fill="auto"/>
            <w:noWrap/>
            <w:vAlign w:val="bottom"/>
          </w:tcPr>
          <w:p w14:paraId="2BD9E840" w14:textId="7AF160E7" w:rsidR="000B68BF" w:rsidRPr="00EC690A" w:rsidRDefault="00925374" w:rsidP="000B68BF">
            <w:pPr>
              <w:jc w:val="right"/>
              <w:rPr>
                <w:color w:val="000000"/>
                <w:sz w:val="18"/>
                <w:szCs w:val="18"/>
                <w:lang w:eastAsia="en-GB"/>
              </w:rPr>
            </w:pPr>
            <w:r>
              <w:rPr>
                <w:color w:val="000000"/>
                <w:sz w:val="18"/>
                <w:szCs w:val="18"/>
                <w:lang w:eastAsia="en-GB"/>
              </w:rPr>
              <w:t>-</w:t>
            </w:r>
          </w:p>
        </w:tc>
        <w:tc>
          <w:tcPr>
            <w:tcW w:w="583" w:type="pct"/>
            <w:tcBorders>
              <w:top w:val="nil"/>
              <w:left w:val="nil"/>
              <w:bottom w:val="nil"/>
              <w:right w:val="nil"/>
            </w:tcBorders>
            <w:shd w:val="clear" w:color="auto" w:fill="auto"/>
            <w:noWrap/>
            <w:vAlign w:val="bottom"/>
          </w:tcPr>
          <w:p w14:paraId="61AF9F03" w14:textId="191F8398" w:rsidR="000B68BF" w:rsidRPr="00EC690A" w:rsidRDefault="00925374" w:rsidP="000B68BF">
            <w:pPr>
              <w:jc w:val="right"/>
              <w:rPr>
                <w:color w:val="000000"/>
                <w:sz w:val="18"/>
                <w:szCs w:val="18"/>
                <w:lang w:eastAsia="en-GB"/>
              </w:rPr>
            </w:pPr>
            <w:r>
              <w:rPr>
                <w:color w:val="000000"/>
                <w:sz w:val="18"/>
                <w:szCs w:val="18"/>
                <w:lang w:eastAsia="en-GB"/>
              </w:rPr>
              <w:t>-</w:t>
            </w:r>
          </w:p>
        </w:tc>
        <w:tc>
          <w:tcPr>
            <w:tcW w:w="787" w:type="pct"/>
            <w:tcBorders>
              <w:top w:val="nil"/>
              <w:left w:val="nil"/>
              <w:bottom w:val="nil"/>
              <w:right w:val="nil"/>
            </w:tcBorders>
            <w:shd w:val="clear" w:color="auto" w:fill="auto"/>
            <w:noWrap/>
            <w:vAlign w:val="bottom"/>
          </w:tcPr>
          <w:p w14:paraId="29742609" w14:textId="6908137E" w:rsidR="000B68BF" w:rsidRPr="00EC690A" w:rsidRDefault="00925374" w:rsidP="000B68BF">
            <w:pPr>
              <w:jc w:val="right"/>
              <w:rPr>
                <w:color w:val="000000"/>
                <w:sz w:val="18"/>
                <w:szCs w:val="18"/>
                <w:lang w:eastAsia="en-GB"/>
              </w:rPr>
            </w:pPr>
            <w:r>
              <w:rPr>
                <w:color w:val="000000"/>
                <w:sz w:val="18"/>
                <w:szCs w:val="18"/>
                <w:lang w:eastAsia="en-GB"/>
              </w:rPr>
              <w:t>-</w:t>
            </w:r>
          </w:p>
        </w:tc>
        <w:tc>
          <w:tcPr>
            <w:tcW w:w="606" w:type="pct"/>
            <w:tcBorders>
              <w:top w:val="nil"/>
              <w:left w:val="nil"/>
              <w:bottom w:val="nil"/>
              <w:right w:val="nil"/>
            </w:tcBorders>
            <w:shd w:val="clear" w:color="auto" w:fill="auto"/>
            <w:noWrap/>
            <w:vAlign w:val="bottom"/>
          </w:tcPr>
          <w:p w14:paraId="67E3E8FB" w14:textId="75E0A83B" w:rsidR="000B68BF" w:rsidRPr="00EC690A" w:rsidRDefault="00925374" w:rsidP="000B68BF">
            <w:pPr>
              <w:jc w:val="right"/>
              <w:rPr>
                <w:color w:val="000000"/>
                <w:sz w:val="18"/>
                <w:szCs w:val="18"/>
                <w:lang w:eastAsia="en-GB"/>
              </w:rPr>
            </w:pPr>
            <w:r>
              <w:rPr>
                <w:color w:val="000000"/>
                <w:sz w:val="18"/>
                <w:szCs w:val="18"/>
                <w:lang w:eastAsia="en-GB"/>
              </w:rPr>
              <w:t>-</w:t>
            </w:r>
          </w:p>
        </w:tc>
        <w:tc>
          <w:tcPr>
            <w:tcW w:w="493" w:type="pct"/>
            <w:tcBorders>
              <w:top w:val="nil"/>
              <w:left w:val="nil"/>
              <w:bottom w:val="nil"/>
              <w:right w:val="nil"/>
            </w:tcBorders>
            <w:shd w:val="clear" w:color="auto" w:fill="auto"/>
            <w:noWrap/>
            <w:vAlign w:val="bottom"/>
          </w:tcPr>
          <w:p w14:paraId="2D6DCA7D" w14:textId="46A2C902" w:rsidR="000B68BF" w:rsidRPr="00EC690A" w:rsidRDefault="00925374" w:rsidP="000B68BF">
            <w:pPr>
              <w:jc w:val="right"/>
              <w:rPr>
                <w:color w:val="000000"/>
                <w:sz w:val="18"/>
                <w:szCs w:val="18"/>
                <w:lang w:eastAsia="en-GB"/>
              </w:rPr>
            </w:pPr>
            <w:r>
              <w:rPr>
                <w:color w:val="000000"/>
                <w:sz w:val="18"/>
                <w:szCs w:val="18"/>
                <w:lang w:eastAsia="en-GB"/>
              </w:rPr>
              <w:t>-</w:t>
            </w:r>
          </w:p>
        </w:tc>
        <w:tc>
          <w:tcPr>
            <w:tcW w:w="594" w:type="pct"/>
            <w:tcBorders>
              <w:top w:val="nil"/>
              <w:left w:val="nil"/>
              <w:bottom w:val="nil"/>
              <w:right w:val="nil"/>
            </w:tcBorders>
            <w:shd w:val="clear" w:color="auto" w:fill="auto"/>
            <w:noWrap/>
            <w:vAlign w:val="bottom"/>
          </w:tcPr>
          <w:p w14:paraId="67FDE710" w14:textId="6E062904" w:rsidR="000B68BF" w:rsidRPr="00EC690A" w:rsidRDefault="00925374" w:rsidP="000B68BF">
            <w:pPr>
              <w:jc w:val="right"/>
              <w:rPr>
                <w:b/>
                <w:bCs/>
                <w:color w:val="000000"/>
                <w:sz w:val="18"/>
                <w:szCs w:val="18"/>
                <w:lang w:eastAsia="en-GB"/>
              </w:rPr>
            </w:pPr>
            <w:r>
              <w:rPr>
                <w:b/>
                <w:bCs/>
                <w:color w:val="000000"/>
                <w:sz w:val="18"/>
                <w:szCs w:val="18"/>
                <w:lang w:eastAsia="en-GB"/>
              </w:rPr>
              <w:t>-</w:t>
            </w:r>
          </w:p>
        </w:tc>
      </w:tr>
      <w:tr w:rsidR="000B68BF" w:rsidRPr="00EC690A" w14:paraId="4E39883D" w14:textId="77777777" w:rsidTr="000B68BF">
        <w:trPr>
          <w:trHeight w:val="300"/>
        </w:trPr>
        <w:tc>
          <w:tcPr>
            <w:tcW w:w="1384" w:type="pct"/>
            <w:tcBorders>
              <w:top w:val="single" w:sz="4" w:space="0" w:color="auto"/>
              <w:left w:val="nil"/>
              <w:bottom w:val="single" w:sz="4" w:space="0" w:color="auto"/>
              <w:right w:val="nil"/>
            </w:tcBorders>
            <w:shd w:val="clear" w:color="auto" w:fill="auto"/>
            <w:noWrap/>
            <w:vAlign w:val="bottom"/>
            <w:hideMark/>
          </w:tcPr>
          <w:p w14:paraId="291C95BE" w14:textId="5358B839" w:rsidR="000B68BF" w:rsidRPr="00EC690A" w:rsidRDefault="000B68BF" w:rsidP="000B68BF">
            <w:pPr>
              <w:rPr>
                <w:b/>
                <w:bCs/>
                <w:color w:val="000000"/>
                <w:sz w:val="18"/>
                <w:szCs w:val="18"/>
                <w:lang w:eastAsia="en-GB"/>
              </w:rPr>
            </w:pPr>
            <w:r w:rsidRPr="00EC690A">
              <w:rPr>
                <w:b/>
                <w:bCs/>
                <w:color w:val="000000"/>
                <w:sz w:val="18"/>
                <w:szCs w:val="18"/>
                <w:lang w:eastAsia="en-GB"/>
              </w:rPr>
              <w:t>31 December 201</w:t>
            </w:r>
            <w:r>
              <w:rPr>
                <w:b/>
                <w:bCs/>
                <w:color w:val="000000"/>
                <w:sz w:val="18"/>
                <w:szCs w:val="18"/>
                <w:lang w:eastAsia="en-GB"/>
              </w:rPr>
              <w:t>9</w:t>
            </w:r>
          </w:p>
        </w:tc>
        <w:tc>
          <w:tcPr>
            <w:tcW w:w="551" w:type="pct"/>
            <w:tcBorders>
              <w:top w:val="single" w:sz="4" w:space="0" w:color="auto"/>
              <w:left w:val="nil"/>
              <w:bottom w:val="single" w:sz="4" w:space="0" w:color="auto"/>
              <w:right w:val="nil"/>
            </w:tcBorders>
            <w:shd w:val="clear" w:color="auto" w:fill="auto"/>
            <w:noWrap/>
            <w:vAlign w:val="bottom"/>
          </w:tcPr>
          <w:p w14:paraId="48A9640D" w14:textId="5B3BAF8F" w:rsidR="000B68BF" w:rsidRPr="00EC690A" w:rsidRDefault="00925374" w:rsidP="000B68BF">
            <w:pPr>
              <w:jc w:val="right"/>
              <w:rPr>
                <w:b/>
                <w:bCs/>
                <w:color w:val="000000"/>
                <w:sz w:val="18"/>
                <w:szCs w:val="18"/>
                <w:lang w:eastAsia="en-GB"/>
              </w:rPr>
            </w:pPr>
            <w:r>
              <w:rPr>
                <w:b/>
                <w:bCs/>
                <w:color w:val="000000"/>
                <w:sz w:val="18"/>
                <w:szCs w:val="18"/>
                <w:lang w:eastAsia="en-GB"/>
              </w:rPr>
              <w:t>346,850</w:t>
            </w:r>
          </w:p>
        </w:tc>
        <w:tc>
          <w:tcPr>
            <w:tcW w:w="583" w:type="pct"/>
            <w:tcBorders>
              <w:top w:val="single" w:sz="4" w:space="0" w:color="auto"/>
              <w:left w:val="nil"/>
              <w:bottom w:val="single" w:sz="4" w:space="0" w:color="auto"/>
              <w:right w:val="nil"/>
            </w:tcBorders>
            <w:shd w:val="clear" w:color="auto" w:fill="auto"/>
            <w:noWrap/>
            <w:vAlign w:val="bottom"/>
          </w:tcPr>
          <w:p w14:paraId="2570323F" w14:textId="5FD3EB54" w:rsidR="000B68BF" w:rsidRPr="00EC690A" w:rsidRDefault="00925374" w:rsidP="000B68BF">
            <w:pPr>
              <w:jc w:val="right"/>
              <w:rPr>
                <w:b/>
                <w:bCs/>
                <w:color w:val="000000"/>
                <w:sz w:val="18"/>
                <w:szCs w:val="18"/>
                <w:lang w:eastAsia="en-GB"/>
              </w:rPr>
            </w:pPr>
            <w:r>
              <w:rPr>
                <w:b/>
                <w:bCs/>
                <w:color w:val="000000"/>
                <w:sz w:val="18"/>
                <w:szCs w:val="18"/>
                <w:lang w:eastAsia="en-GB"/>
              </w:rPr>
              <w:t>147,760</w:t>
            </w:r>
          </w:p>
        </w:tc>
        <w:tc>
          <w:tcPr>
            <w:tcW w:w="787" w:type="pct"/>
            <w:tcBorders>
              <w:top w:val="single" w:sz="4" w:space="0" w:color="auto"/>
              <w:left w:val="nil"/>
              <w:bottom w:val="single" w:sz="4" w:space="0" w:color="auto"/>
              <w:right w:val="nil"/>
            </w:tcBorders>
            <w:shd w:val="clear" w:color="auto" w:fill="auto"/>
            <w:noWrap/>
            <w:vAlign w:val="bottom"/>
          </w:tcPr>
          <w:p w14:paraId="5C446776" w14:textId="04964543" w:rsidR="000B68BF" w:rsidRPr="00EC690A" w:rsidRDefault="00925374" w:rsidP="000B68BF">
            <w:pPr>
              <w:jc w:val="right"/>
              <w:rPr>
                <w:b/>
                <w:bCs/>
                <w:color w:val="000000"/>
                <w:sz w:val="18"/>
                <w:szCs w:val="18"/>
                <w:lang w:eastAsia="en-GB"/>
              </w:rPr>
            </w:pPr>
            <w:r>
              <w:rPr>
                <w:b/>
                <w:bCs/>
                <w:color w:val="000000"/>
                <w:sz w:val="18"/>
                <w:szCs w:val="18"/>
                <w:lang w:eastAsia="en-GB"/>
              </w:rPr>
              <w:t>124,150</w:t>
            </w:r>
          </w:p>
        </w:tc>
        <w:tc>
          <w:tcPr>
            <w:tcW w:w="606" w:type="pct"/>
            <w:tcBorders>
              <w:top w:val="single" w:sz="4" w:space="0" w:color="auto"/>
              <w:left w:val="nil"/>
              <w:bottom w:val="single" w:sz="4" w:space="0" w:color="auto"/>
              <w:right w:val="nil"/>
            </w:tcBorders>
            <w:shd w:val="clear" w:color="auto" w:fill="auto"/>
            <w:noWrap/>
            <w:vAlign w:val="bottom"/>
          </w:tcPr>
          <w:p w14:paraId="47420C22" w14:textId="6EDAF0B4" w:rsidR="000B68BF" w:rsidRPr="00EC690A" w:rsidRDefault="00925374" w:rsidP="000B68BF">
            <w:pPr>
              <w:jc w:val="right"/>
              <w:rPr>
                <w:b/>
                <w:bCs/>
                <w:color w:val="000000"/>
                <w:sz w:val="18"/>
                <w:szCs w:val="18"/>
                <w:lang w:eastAsia="en-GB"/>
              </w:rPr>
            </w:pPr>
            <w:r>
              <w:rPr>
                <w:b/>
                <w:bCs/>
                <w:color w:val="000000"/>
                <w:sz w:val="18"/>
                <w:szCs w:val="18"/>
                <w:lang w:eastAsia="en-GB"/>
              </w:rPr>
              <w:t>560,372</w:t>
            </w:r>
          </w:p>
        </w:tc>
        <w:tc>
          <w:tcPr>
            <w:tcW w:w="493" w:type="pct"/>
            <w:tcBorders>
              <w:top w:val="single" w:sz="4" w:space="0" w:color="auto"/>
              <w:left w:val="nil"/>
              <w:bottom w:val="single" w:sz="4" w:space="0" w:color="auto"/>
              <w:right w:val="nil"/>
            </w:tcBorders>
            <w:shd w:val="clear" w:color="auto" w:fill="auto"/>
            <w:noWrap/>
            <w:vAlign w:val="bottom"/>
          </w:tcPr>
          <w:p w14:paraId="4BD84E44" w14:textId="42600AFF" w:rsidR="000B68BF" w:rsidRPr="00EC690A" w:rsidRDefault="00925374" w:rsidP="000B68BF">
            <w:pPr>
              <w:jc w:val="right"/>
              <w:rPr>
                <w:b/>
                <w:bCs/>
                <w:color w:val="000000"/>
                <w:sz w:val="18"/>
                <w:szCs w:val="18"/>
                <w:lang w:eastAsia="en-GB"/>
              </w:rPr>
            </w:pPr>
            <w:r>
              <w:rPr>
                <w:b/>
                <w:bCs/>
                <w:color w:val="000000"/>
                <w:sz w:val="18"/>
                <w:szCs w:val="18"/>
                <w:lang w:eastAsia="en-GB"/>
              </w:rPr>
              <w:t>12,697</w:t>
            </w:r>
          </w:p>
        </w:tc>
        <w:tc>
          <w:tcPr>
            <w:tcW w:w="594" w:type="pct"/>
            <w:tcBorders>
              <w:top w:val="single" w:sz="4" w:space="0" w:color="auto"/>
              <w:left w:val="nil"/>
              <w:bottom w:val="single" w:sz="4" w:space="0" w:color="auto"/>
              <w:right w:val="nil"/>
            </w:tcBorders>
            <w:shd w:val="clear" w:color="auto" w:fill="auto"/>
            <w:noWrap/>
            <w:vAlign w:val="bottom"/>
          </w:tcPr>
          <w:p w14:paraId="443F5F58" w14:textId="3F971E9E" w:rsidR="000B68BF" w:rsidRPr="00EC690A" w:rsidRDefault="00925374" w:rsidP="000B68BF">
            <w:pPr>
              <w:jc w:val="right"/>
              <w:rPr>
                <w:b/>
                <w:bCs/>
                <w:color w:val="000000"/>
                <w:sz w:val="18"/>
                <w:szCs w:val="18"/>
                <w:lang w:eastAsia="en-GB"/>
              </w:rPr>
            </w:pPr>
            <w:r>
              <w:rPr>
                <w:b/>
                <w:bCs/>
                <w:color w:val="000000"/>
                <w:sz w:val="18"/>
                <w:szCs w:val="18"/>
                <w:lang w:eastAsia="en-GB"/>
              </w:rPr>
              <w:t>1,191,829</w:t>
            </w:r>
          </w:p>
        </w:tc>
      </w:tr>
      <w:tr w:rsidR="000B68BF" w:rsidRPr="00EC690A" w14:paraId="5425A2D5" w14:textId="77777777" w:rsidTr="000B68BF">
        <w:trPr>
          <w:trHeight w:val="300"/>
        </w:trPr>
        <w:tc>
          <w:tcPr>
            <w:tcW w:w="1384" w:type="pct"/>
            <w:tcBorders>
              <w:top w:val="nil"/>
              <w:left w:val="nil"/>
              <w:bottom w:val="nil"/>
              <w:right w:val="nil"/>
            </w:tcBorders>
            <w:shd w:val="clear" w:color="auto" w:fill="auto"/>
            <w:noWrap/>
            <w:vAlign w:val="bottom"/>
            <w:hideMark/>
          </w:tcPr>
          <w:p w14:paraId="102C5AC3" w14:textId="77777777" w:rsidR="000B68BF" w:rsidRPr="00EC690A" w:rsidRDefault="000B68BF" w:rsidP="000B68BF">
            <w:pPr>
              <w:rPr>
                <w:color w:val="000000"/>
                <w:sz w:val="18"/>
                <w:szCs w:val="18"/>
                <w:lang w:eastAsia="en-GB"/>
              </w:rPr>
            </w:pPr>
          </w:p>
        </w:tc>
        <w:tc>
          <w:tcPr>
            <w:tcW w:w="551" w:type="pct"/>
            <w:tcBorders>
              <w:top w:val="nil"/>
              <w:left w:val="nil"/>
              <w:bottom w:val="nil"/>
              <w:right w:val="nil"/>
            </w:tcBorders>
            <w:shd w:val="clear" w:color="auto" w:fill="auto"/>
            <w:noWrap/>
            <w:vAlign w:val="bottom"/>
          </w:tcPr>
          <w:p w14:paraId="10A2B313" w14:textId="77777777" w:rsidR="000B68BF" w:rsidRPr="00EC690A" w:rsidRDefault="000B68BF" w:rsidP="000B68BF">
            <w:pPr>
              <w:rPr>
                <w:color w:val="000000"/>
                <w:sz w:val="18"/>
                <w:szCs w:val="18"/>
                <w:lang w:eastAsia="en-GB"/>
              </w:rPr>
            </w:pPr>
          </w:p>
        </w:tc>
        <w:tc>
          <w:tcPr>
            <w:tcW w:w="583" w:type="pct"/>
            <w:tcBorders>
              <w:top w:val="nil"/>
              <w:left w:val="nil"/>
              <w:bottom w:val="nil"/>
              <w:right w:val="nil"/>
            </w:tcBorders>
            <w:shd w:val="clear" w:color="auto" w:fill="auto"/>
            <w:noWrap/>
            <w:vAlign w:val="bottom"/>
          </w:tcPr>
          <w:p w14:paraId="4CBC9746" w14:textId="77777777" w:rsidR="000B68BF" w:rsidRPr="00EC690A" w:rsidRDefault="000B68BF" w:rsidP="000B68BF">
            <w:pPr>
              <w:rPr>
                <w:color w:val="000000"/>
                <w:sz w:val="18"/>
                <w:szCs w:val="18"/>
                <w:lang w:eastAsia="en-GB"/>
              </w:rPr>
            </w:pPr>
          </w:p>
        </w:tc>
        <w:tc>
          <w:tcPr>
            <w:tcW w:w="787" w:type="pct"/>
            <w:tcBorders>
              <w:top w:val="nil"/>
              <w:left w:val="nil"/>
              <w:bottom w:val="nil"/>
              <w:right w:val="nil"/>
            </w:tcBorders>
            <w:shd w:val="clear" w:color="auto" w:fill="auto"/>
            <w:noWrap/>
            <w:vAlign w:val="bottom"/>
          </w:tcPr>
          <w:p w14:paraId="7A043B2F" w14:textId="77777777" w:rsidR="000B68BF" w:rsidRPr="00EC690A" w:rsidRDefault="000B68BF" w:rsidP="000B68BF">
            <w:pPr>
              <w:rPr>
                <w:color w:val="000000"/>
                <w:sz w:val="18"/>
                <w:szCs w:val="18"/>
                <w:lang w:eastAsia="en-GB"/>
              </w:rPr>
            </w:pPr>
          </w:p>
        </w:tc>
        <w:tc>
          <w:tcPr>
            <w:tcW w:w="606" w:type="pct"/>
            <w:tcBorders>
              <w:top w:val="nil"/>
              <w:left w:val="nil"/>
              <w:bottom w:val="nil"/>
              <w:right w:val="nil"/>
            </w:tcBorders>
            <w:shd w:val="clear" w:color="auto" w:fill="auto"/>
            <w:noWrap/>
            <w:vAlign w:val="bottom"/>
          </w:tcPr>
          <w:p w14:paraId="0F5F635A" w14:textId="77777777" w:rsidR="000B68BF" w:rsidRPr="00EC690A" w:rsidRDefault="000B68BF" w:rsidP="000B68BF">
            <w:pPr>
              <w:rPr>
                <w:color w:val="000000"/>
                <w:sz w:val="18"/>
                <w:szCs w:val="18"/>
                <w:lang w:eastAsia="en-GB"/>
              </w:rPr>
            </w:pPr>
          </w:p>
        </w:tc>
        <w:tc>
          <w:tcPr>
            <w:tcW w:w="493" w:type="pct"/>
            <w:tcBorders>
              <w:top w:val="nil"/>
              <w:left w:val="nil"/>
              <w:bottom w:val="nil"/>
              <w:right w:val="nil"/>
            </w:tcBorders>
            <w:shd w:val="clear" w:color="auto" w:fill="auto"/>
            <w:noWrap/>
            <w:vAlign w:val="bottom"/>
          </w:tcPr>
          <w:p w14:paraId="59732F1D" w14:textId="77777777" w:rsidR="000B68BF" w:rsidRPr="00EC690A" w:rsidRDefault="000B68BF" w:rsidP="000B68BF">
            <w:pPr>
              <w:rPr>
                <w:color w:val="000000"/>
                <w:sz w:val="18"/>
                <w:szCs w:val="18"/>
                <w:lang w:eastAsia="en-GB"/>
              </w:rPr>
            </w:pPr>
          </w:p>
        </w:tc>
        <w:tc>
          <w:tcPr>
            <w:tcW w:w="594" w:type="pct"/>
            <w:tcBorders>
              <w:top w:val="nil"/>
              <w:left w:val="nil"/>
              <w:bottom w:val="nil"/>
              <w:right w:val="nil"/>
            </w:tcBorders>
            <w:shd w:val="clear" w:color="auto" w:fill="auto"/>
            <w:noWrap/>
            <w:vAlign w:val="bottom"/>
          </w:tcPr>
          <w:p w14:paraId="32E346F3" w14:textId="77777777" w:rsidR="000B68BF" w:rsidRPr="00EC690A" w:rsidRDefault="000B68BF" w:rsidP="000B68BF">
            <w:pPr>
              <w:rPr>
                <w:b/>
                <w:bCs/>
                <w:color w:val="000000"/>
                <w:sz w:val="18"/>
                <w:szCs w:val="18"/>
                <w:lang w:eastAsia="en-GB"/>
              </w:rPr>
            </w:pPr>
          </w:p>
        </w:tc>
      </w:tr>
      <w:tr w:rsidR="000B68BF" w:rsidRPr="00EC690A" w14:paraId="4C72DA68" w14:textId="77777777" w:rsidTr="000B68BF">
        <w:trPr>
          <w:trHeight w:val="300"/>
        </w:trPr>
        <w:tc>
          <w:tcPr>
            <w:tcW w:w="1384" w:type="pct"/>
            <w:tcBorders>
              <w:top w:val="nil"/>
              <w:left w:val="nil"/>
              <w:bottom w:val="nil"/>
              <w:right w:val="nil"/>
            </w:tcBorders>
            <w:shd w:val="clear" w:color="auto" w:fill="auto"/>
            <w:noWrap/>
            <w:vAlign w:val="bottom"/>
            <w:hideMark/>
          </w:tcPr>
          <w:p w14:paraId="42E494F4" w14:textId="77777777" w:rsidR="000B68BF" w:rsidRPr="00EC690A" w:rsidRDefault="000B68BF" w:rsidP="000B68BF">
            <w:pPr>
              <w:rPr>
                <w:b/>
                <w:bCs/>
                <w:color w:val="000000"/>
                <w:sz w:val="18"/>
                <w:szCs w:val="18"/>
                <w:lang w:eastAsia="en-GB"/>
              </w:rPr>
            </w:pPr>
            <w:r w:rsidRPr="00EC690A">
              <w:rPr>
                <w:b/>
                <w:bCs/>
                <w:color w:val="000000"/>
                <w:sz w:val="18"/>
                <w:szCs w:val="18"/>
                <w:lang w:eastAsia="en-GB"/>
              </w:rPr>
              <w:t>Accumulated depreciation</w:t>
            </w:r>
          </w:p>
        </w:tc>
        <w:tc>
          <w:tcPr>
            <w:tcW w:w="551" w:type="pct"/>
            <w:tcBorders>
              <w:top w:val="nil"/>
              <w:left w:val="nil"/>
              <w:bottom w:val="nil"/>
              <w:right w:val="nil"/>
            </w:tcBorders>
            <w:shd w:val="clear" w:color="auto" w:fill="auto"/>
            <w:noWrap/>
            <w:vAlign w:val="bottom"/>
          </w:tcPr>
          <w:p w14:paraId="56332ABB" w14:textId="77777777" w:rsidR="000B68BF" w:rsidRPr="00EC690A" w:rsidRDefault="000B68BF" w:rsidP="000B68BF">
            <w:pPr>
              <w:rPr>
                <w:color w:val="000000"/>
                <w:sz w:val="18"/>
                <w:szCs w:val="18"/>
                <w:lang w:eastAsia="en-GB"/>
              </w:rPr>
            </w:pPr>
          </w:p>
        </w:tc>
        <w:tc>
          <w:tcPr>
            <w:tcW w:w="583" w:type="pct"/>
            <w:tcBorders>
              <w:top w:val="nil"/>
              <w:left w:val="nil"/>
              <w:bottom w:val="nil"/>
              <w:right w:val="nil"/>
            </w:tcBorders>
            <w:shd w:val="clear" w:color="auto" w:fill="auto"/>
            <w:noWrap/>
            <w:vAlign w:val="bottom"/>
          </w:tcPr>
          <w:p w14:paraId="03FB3CD3" w14:textId="77777777" w:rsidR="000B68BF" w:rsidRPr="00EC690A" w:rsidRDefault="000B68BF" w:rsidP="000B68BF">
            <w:pPr>
              <w:rPr>
                <w:color w:val="000000"/>
                <w:sz w:val="18"/>
                <w:szCs w:val="18"/>
                <w:lang w:eastAsia="en-GB"/>
              </w:rPr>
            </w:pPr>
          </w:p>
        </w:tc>
        <w:tc>
          <w:tcPr>
            <w:tcW w:w="787" w:type="pct"/>
            <w:tcBorders>
              <w:top w:val="nil"/>
              <w:left w:val="nil"/>
              <w:bottom w:val="nil"/>
              <w:right w:val="nil"/>
            </w:tcBorders>
            <w:shd w:val="clear" w:color="auto" w:fill="auto"/>
            <w:noWrap/>
            <w:vAlign w:val="bottom"/>
          </w:tcPr>
          <w:p w14:paraId="58592BEA" w14:textId="77777777" w:rsidR="000B68BF" w:rsidRPr="00EC690A" w:rsidRDefault="000B68BF" w:rsidP="000B68BF">
            <w:pPr>
              <w:rPr>
                <w:color w:val="000000"/>
                <w:sz w:val="18"/>
                <w:szCs w:val="18"/>
                <w:lang w:eastAsia="en-GB"/>
              </w:rPr>
            </w:pPr>
          </w:p>
        </w:tc>
        <w:tc>
          <w:tcPr>
            <w:tcW w:w="606" w:type="pct"/>
            <w:tcBorders>
              <w:top w:val="nil"/>
              <w:left w:val="nil"/>
              <w:bottom w:val="nil"/>
              <w:right w:val="nil"/>
            </w:tcBorders>
            <w:shd w:val="clear" w:color="auto" w:fill="auto"/>
            <w:noWrap/>
            <w:vAlign w:val="bottom"/>
          </w:tcPr>
          <w:p w14:paraId="6FF691DD" w14:textId="77777777" w:rsidR="000B68BF" w:rsidRPr="00EC690A" w:rsidRDefault="000B68BF" w:rsidP="000B68BF">
            <w:pPr>
              <w:rPr>
                <w:color w:val="000000"/>
                <w:sz w:val="18"/>
                <w:szCs w:val="18"/>
                <w:lang w:eastAsia="en-GB"/>
              </w:rPr>
            </w:pPr>
          </w:p>
        </w:tc>
        <w:tc>
          <w:tcPr>
            <w:tcW w:w="493" w:type="pct"/>
            <w:tcBorders>
              <w:top w:val="nil"/>
              <w:left w:val="nil"/>
              <w:bottom w:val="nil"/>
              <w:right w:val="nil"/>
            </w:tcBorders>
            <w:shd w:val="clear" w:color="auto" w:fill="auto"/>
            <w:noWrap/>
            <w:vAlign w:val="bottom"/>
          </w:tcPr>
          <w:p w14:paraId="6146ADAA" w14:textId="77777777" w:rsidR="000B68BF" w:rsidRPr="00EC690A" w:rsidRDefault="000B68BF" w:rsidP="000B68BF">
            <w:pPr>
              <w:rPr>
                <w:color w:val="000000"/>
                <w:sz w:val="18"/>
                <w:szCs w:val="18"/>
                <w:lang w:eastAsia="en-GB"/>
              </w:rPr>
            </w:pPr>
          </w:p>
        </w:tc>
        <w:tc>
          <w:tcPr>
            <w:tcW w:w="594" w:type="pct"/>
            <w:tcBorders>
              <w:top w:val="nil"/>
              <w:left w:val="nil"/>
              <w:bottom w:val="nil"/>
              <w:right w:val="nil"/>
            </w:tcBorders>
            <w:shd w:val="clear" w:color="auto" w:fill="auto"/>
            <w:noWrap/>
            <w:vAlign w:val="bottom"/>
          </w:tcPr>
          <w:p w14:paraId="6F813FA0" w14:textId="77777777" w:rsidR="000B68BF" w:rsidRPr="00EC690A" w:rsidRDefault="000B68BF" w:rsidP="000B68BF">
            <w:pPr>
              <w:rPr>
                <w:color w:val="000000"/>
                <w:sz w:val="18"/>
                <w:szCs w:val="18"/>
                <w:lang w:eastAsia="en-GB"/>
              </w:rPr>
            </w:pPr>
          </w:p>
        </w:tc>
      </w:tr>
      <w:tr w:rsidR="000B68BF" w:rsidRPr="00EC690A" w14:paraId="5ABF643F" w14:textId="77777777" w:rsidTr="000B68BF">
        <w:trPr>
          <w:trHeight w:val="300"/>
        </w:trPr>
        <w:tc>
          <w:tcPr>
            <w:tcW w:w="1384" w:type="pct"/>
            <w:tcBorders>
              <w:top w:val="nil"/>
              <w:left w:val="nil"/>
              <w:bottom w:val="nil"/>
              <w:right w:val="nil"/>
            </w:tcBorders>
            <w:shd w:val="clear" w:color="auto" w:fill="auto"/>
            <w:noWrap/>
            <w:vAlign w:val="bottom"/>
            <w:hideMark/>
          </w:tcPr>
          <w:p w14:paraId="6D31963B" w14:textId="5878EA6F" w:rsidR="000B68BF" w:rsidRPr="00EC690A" w:rsidRDefault="000B68BF" w:rsidP="000B68BF">
            <w:pPr>
              <w:rPr>
                <w:color w:val="000000"/>
                <w:sz w:val="18"/>
                <w:szCs w:val="18"/>
                <w:lang w:eastAsia="en-GB"/>
              </w:rPr>
            </w:pPr>
            <w:r w:rsidRPr="00EC690A">
              <w:rPr>
                <w:color w:val="000000"/>
                <w:sz w:val="18"/>
                <w:szCs w:val="18"/>
                <w:lang w:eastAsia="en-GB"/>
              </w:rPr>
              <w:t>31 December 201</w:t>
            </w:r>
            <w:r>
              <w:rPr>
                <w:color w:val="000000"/>
                <w:sz w:val="18"/>
                <w:szCs w:val="18"/>
                <w:lang w:eastAsia="en-GB"/>
              </w:rPr>
              <w:t>8</w:t>
            </w:r>
          </w:p>
        </w:tc>
        <w:tc>
          <w:tcPr>
            <w:tcW w:w="551" w:type="pct"/>
            <w:tcBorders>
              <w:top w:val="nil"/>
              <w:left w:val="nil"/>
              <w:bottom w:val="nil"/>
              <w:right w:val="nil"/>
            </w:tcBorders>
            <w:shd w:val="clear" w:color="auto" w:fill="auto"/>
            <w:noWrap/>
            <w:vAlign w:val="bottom"/>
          </w:tcPr>
          <w:p w14:paraId="225D3618" w14:textId="24BC91FA" w:rsidR="000B68BF" w:rsidRPr="00EC690A" w:rsidRDefault="000B68BF" w:rsidP="000B68BF">
            <w:pPr>
              <w:jc w:val="right"/>
              <w:rPr>
                <w:color w:val="000000"/>
                <w:sz w:val="18"/>
                <w:szCs w:val="18"/>
                <w:lang w:eastAsia="en-GB"/>
              </w:rPr>
            </w:pPr>
            <w:r>
              <w:rPr>
                <w:color w:val="000000"/>
                <w:sz w:val="18"/>
                <w:szCs w:val="18"/>
                <w:lang w:eastAsia="en-GB"/>
              </w:rPr>
              <w:t>(153,421)</w:t>
            </w:r>
          </w:p>
        </w:tc>
        <w:tc>
          <w:tcPr>
            <w:tcW w:w="583" w:type="pct"/>
            <w:tcBorders>
              <w:top w:val="nil"/>
              <w:left w:val="nil"/>
              <w:bottom w:val="nil"/>
              <w:right w:val="nil"/>
            </w:tcBorders>
            <w:shd w:val="clear" w:color="auto" w:fill="auto"/>
            <w:noWrap/>
            <w:vAlign w:val="bottom"/>
          </w:tcPr>
          <w:p w14:paraId="6CF0F67B" w14:textId="2F2C3350" w:rsidR="000B68BF" w:rsidRPr="00EC690A" w:rsidRDefault="000B68BF" w:rsidP="000B68BF">
            <w:pPr>
              <w:jc w:val="right"/>
              <w:rPr>
                <w:color w:val="000000"/>
                <w:sz w:val="18"/>
                <w:szCs w:val="18"/>
                <w:lang w:eastAsia="en-GB"/>
              </w:rPr>
            </w:pPr>
            <w:r>
              <w:rPr>
                <w:color w:val="000000"/>
                <w:sz w:val="18"/>
                <w:szCs w:val="18"/>
                <w:lang w:eastAsia="en-GB"/>
              </w:rPr>
              <w:t>(143,932)</w:t>
            </w:r>
          </w:p>
        </w:tc>
        <w:tc>
          <w:tcPr>
            <w:tcW w:w="787" w:type="pct"/>
            <w:tcBorders>
              <w:top w:val="nil"/>
              <w:left w:val="nil"/>
              <w:bottom w:val="nil"/>
              <w:right w:val="nil"/>
            </w:tcBorders>
            <w:shd w:val="clear" w:color="auto" w:fill="auto"/>
            <w:noWrap/>
            <w:vAlign w:val="bottom"/>
          </w:tcPr>
          <w:p w14:paraId="732CBCA0" w14:textId="40B14304" w:rsidR="000B68BF" w:rsidRPr="00EC690A" w:rsidRDefault="000B68BF" w:rsidP="000B68BF">
            <w:pPr>
              <w:jc w:val="right"/>
              <w:rPr>
                <w:color w:val="000000"/>
                <w:sz w:val="18"/>
                <w:szCs w:val="18"/>
                <w:lang w:eastAsia="en-GB"/>
              </w:rPr>
            </w:pPr>
            <w:r>
              <w:rPr>
                <w:color w:val="000000"/>
                <w:sz w:val="18"/>
                <w:szCs w:val="18"/>
                <w:lang w:eastAsia="en-GB"/>
              </w:rPr>
              <w:t>(81,818)</w:t>
            </w:r>
          </w:p>
        </w:tc>
        <w:tc>
          <w:tcPr>
            <w:tcW w:w="606" w:type="pct"/>
            <w:tcBorders>
              <w:top w:val="nil"/>
              <w:left w:val="nil"/>
              <w:bottom w:val="nil"/>
              <w:right w:val="nil"/>
            </w:tcBorders>
            <w:shd w:val="clear" w:color="auto" w:fill="auto"/>
            <w:noWrap/>
            <w:vAlign w:val="bottom"/>
          </w:tcPr>
          <w:p w14:paraId="164D2E5A" w14:textId="22D40A29" w:rsidR="000B68BF" w:rsidRPr="00EC690A" w:rsidRDefault="000B68BF" w:rsidP="000B68BF">
            <w:pPr>
              <w:jc w:val="right"/>
              <w:rPr>
                <w:color w:val="000000"/>
                <w:sz w:val="18"/>
                <w:szCs w:val="18"/>
                <w:lang w:eastAsia="en-GB"/>
              </w:rPr>
            </w:pPr>
            <w:r>
              <w:rPr>
                <w:color w:val="000000"/>
                <w:sz w:val="18"/>
                <w:szCs w:val="18"/>
                <w:lang w:eastAsia="en-GB"/>
              </w:rPr>
              <w:t>(</w:t>
            </w:r>
            <w:r w:rsidR="00CE428A">
              <w:rPr>
                <w:color w:val="000000"/>
                <w:sz w:val="18"/>
                <w:szCs w:val="18"/>
                <w:lang w:eastAsia="en-GB"/>
              </w:rPr>
              <w:t>187,832</w:t>
            </w:r>
            <w:r>
              <w:rPr>
                <w:color w:val="000000"/>
                <w:sz w:val="18"/>
                <w:szCs w:val="18"/>
                <w:lang w:eastAsia="en-GB"/>
              </w:rPr>
              <w:t>)</w:t>
            </w:r>
          </w:p>
        </w:tc>
        <w:tc>
          <w:tcPr>
            <w:tcW w:w="493" w:type="pct"/>
            <w:tcBorders>
              <w:top w:val="nil"/>
              <w:left w:val="nil"/>
              <w:bottom w:val="nil"/>
              <w:right w:val="nil"/>
            </w:tcBorders>
            <w:shd w:val="clear" w:color="auto" w:fill="auto"/>
            <w:noWrap/>
            <w:vAlign w:val="bottom"/>
          </w:tcPr>
          <w:p w14:paraId="29F7FFA6" w14:textId="44784D6E" w:rsidR="000B68BF" w:rsidRPr="00EC690A" w:rsidRDefault="00CE428A" w:rsidP="000B68BF">
            <w:pPr>
              <w:jc w:val="right"/>
              <w:rPr>
                <w:color w:val="000000"/>
                <w:sz w:val="18"/>
                <w:szCs w:val="18"/>
                <w:lang w:eastAsia="en-GB"/>
              </w:rPr>
            </w:pPr>
            <w:r>
              <w:rPr>
                <w:color w:val="000000"/>
                <w:sz w:val="18"/>
                <w:szCs w:val="18"/>
                <w:lang w:eastAsia="en-GB"/>
              </w:rPr>
              <w:t>(12,697)</w:t>
            </w:r>
          </w:p>
        </w:tc>
        <w:tc>
          <w:tcPr>
            <w:tcW w:w="594" w:type="pct"/>
            <w:tcBorders>
              <w:top w:val="nil"/>
              <w:left w:val="nil"/>
              <w:bottom w:val="nil"/>
              <w:right w:val="nil"/>
            </w:tcBorders>
            <w:shd w:val="clear" w:color="auto" w:fill="auto"/>
            <w:noWrap/>
            <w:vAlign w:val="bottom"/>
          </w:tcPr>
          <w:p w14:paraId="2A174BB0" w14:textId="478855C3" w:rsidR="000B68BF" w:rsidRPr="00EC690A" w:rsidRDefault="000B68BF" w:rsidP="000B68BF">
            <w:pPr>
              <w:jc w:val="right"/>
              <w:rPr>
                <w:b/>
                <w:bCs/>
                <w:color w:val="000000"/>
                <w:sz w:val="18"/>
                <w:szCs w:val="18"/>
                <w:lang w:eastAsia="en-GB"/>
              </w:rPr>
            </w:pPr>
            <w:r>
              <w:rPr>
                <w:b/>
                <w:bCs/>
                <w:color w:val="000000"/>
                <w:sz w:val="18"/>
                <w:szCs w:val="18"/>
                <w:lang w:eastAsia="en-GB"/>
              </w:rPr>
              <w:t>(579,700)</w:t>
            </w:r>
          </w:p>
        </w:tc>
      </w:tr>
      <w:tr w:rsidR="000B68BF" w:rsidRPr="00EC690A" w14:paraId="5984EFE0" w14:textId="77777777" w:rsidTr="000B68BF">
        <w:trPr>
          <w:trHeight w:val="300"/>
        </w:trPr>
        <w:tc>
          <w:tcPr>
            <w:tcW w:w="1384" w:type="pct"/>
            <w:tcBorders>
              <w:top w:val="nil"/>
              <w:left w:val="nil"/>
              <w:bottom w:val="nil"/>
              <w:right w:val="nil"/>
            </w:tcBorders>
            <w:shd w:val="clear" w:color="auto" w:fill="auto"/>
            <w:noWrap/>
            <w:vAlign w:val="bottom"/>
            <w:hideMark/>
          </w:tcPr>
          <w:p w14:paraId="7B759F66" w14:textId="77777777" w:rsidR="000B68BF" w:rsidRPr="00EC690A" w:rsidRDefault="000B68BF" w:rsidP="000B68BF">
            <w:pPr>
              <w:rPr>
                <w:color w:val="000000"/>
                <w:sz w:val="18"/>
                <w:szCs w:val="18"/>
                <w:lang w:eastAsia="en-GB"/>
              </w:rPr>
            </w:pPr>
            <w:r w:rsidRPr="00EC690A">
              <w:rPr>
                <w:color w:val="000000"/>
                <w:sz w:val="18"/>
                <w:szCs w:val="18"/>
                <w:lang w:eastAsia="en-GB"/>
              </w:rPr>
              <w:t>Depreciation charge</w:t>
            </w:r>
          </w:p>
        </w:tc>
        <w:tc>
          <w:tcPr>
            <w:tcW w:w="551" w:type="pct"/>
            <w:tcBorders>
              <w:top w:val="nil"/>
              <w:left w:val="nil"/>
              <w:bottom w:val="nil"/>
              <w:right w:val="nil"/>
            </w:tcBorders>
            <w:shd w:val="clear" w:color="auto" w:fill="auto"/>
            <w:noWrap/>
            <w:vAlign w:val="bottom"/>
          </w:tcPr>
          <w:p w14:paraId="6A70F613" w14:textId="647205A1" w:rsidR="000B68BF" w:rsidRPr="00EC690A" w:rsidRDefault="00925374" w:rsidP="000B68BF">
            <w:pPr>
              <w:jc w:val="right"/>
              <w:rPr>
                <w:color w:val="000000"/>
                <w:sz w:val="18"/>
                <w:szCs w:val="18"/>
                <w:lang w:eastAsia="en-GB"/>
              </w:rPr>
            </w:pPr>
            <w:r>
              <w:rPr>
                <w:color w:val="000000"/>
                <w:sz w:val="18"/>
                <w:szCs w:val="18"/>
                <w:lang w:eastAsia="en-GB"/>
              </w:rPr>
              <w:t>(21,925)</w:t>
            </w:r>
          </w:p>
        </w:tc>
        <w:tc>
          <w:tcPr>
            <w:tcW w:w="583" w:type="pct"/>
            <w:tcBorders>
              <w:top w:val="nil"/>
              <w:left w:val="nil"/>
              <w:bottom w:val="nil"/>
              <w:right w:val="nil"/>
            </w:tcBorders>
            <w:shd w:val="clear" w:color="auto" w:fill="auto"/>
            <w:noWrap/>
            <w:vAlign w:val="bottom"/>
          </w:tcPr>
          <w:p w14:paraId="0A9D3802" w14:textId="088A3876" w:rsidR="000B68BF" w:rsidRPr="00EC690A" w:rsidRDefault="00925374" w:rsidP="000B68BF">
            <w:pPr>
              <w:jc w:val="right"/>
              <w:rPr>
                <w:color w:val="000000"/>
                <w:sz w:val="18"/>
                <w:szCs w:val="18"/>
                <w:lang w:eastAsia="en-GB"/>
              </w:rPr>
            </w:pPr>
            <w:r>
              <w:rPr>
                <w:color w:val="000000"/>
                <w:sz w:val="18"/>
                <w:szCs w:val="18"/>
                <w:lang w:eastAsia="en-GB"/>
              </w:rPr>
              <w:t>(1,460)</w:t>
            </w:r>
          </w:p>
        </w:tc>
        <w:tc>
          <w:tcPr>
            <w:tcW w:w="787" w:type="pct"/>
            <w:tcBorders>
              <w:top w:val="nil"/>
              <w:left w:val="nil"/>
              <w:bottom w:val="nil"/>
              <w:right w:val="nil"/>
            </w:tcBorders>
            <w:shd w:val="clear" w:color="auto" w:fill="auto"/>
            <w:noWrap/>
            <w:vAlign w:val="bottom"/>
          </w:tcPr>
          <w:p w14:paraId="4C7A56EE" w14:textId="2C830748" w:rsidR="000B68BF" w:rsidRPr="00EC690A" w:rsidRDefault="00925374" w:rsidP="000B68BF">
            <w:pPr>
              <w:jc w:val="right"/>
              <w:rPr>
                <w:color w:val="000000"/>
                <w:sz w:val="18"/>
                <w:szCs w:val="18"/>
                <w:lang w:eastAsia="en-GB"/>
              </w:rPr>
            </w:pPr>
            <w:r>
              <w:rPr>
                <w:color w:val="000000"/>
                <w:sz w:val="18"/>
                <w:szCs w:val="18"/>
                <w:lang w:eastAsia="en-GB"/>
              </w:rPr>
              <w:t>(11,112)</w:t>
            </w:r>
          </w:p>
        </w:tc>
        <w:tc>
          <w:tcPr>
            <w:tcW w:w="606" w:type="pct"/>
            <w:tcBorders>
              <w:top w:val="nil"/>
              <w:left w:val="nil"/>
              <w:bottom w:val="nil"/>
              <w:right w:val="nil"/>
            </w:tcBorders>
            <w:shd w:val="clear" w:color="auto" w:fill="auto"/>
            <w:noWrap/>
            <w:vAlign w:val="bottom"/>
          </w:tcPr>
          <w:p w14:paraId="0C65B6C4" w14:textId="05D62701" w:rsidR="000B68BF" w:rsidRPr="00EC690A" w:rsidRDefault="00925374" w:rsidP="000B68BF">
            <w:pPr>
              <w:jc w:val="right"/>
              <w:rPr>
                <w:color w:val="000000"/>
                <w:sz w:val="18"/>
                <w:szCs w:val="18"/>
                <w:lang w:eastAsia="en-GB"/>
              </w:rPr>
            </w:pPr>
            <w:r>
              <w:rPr>
                <w:color w:val="000000"/>
                <w:sz w:val="18"/>
                <w:szCs w:val="18"/>
                <w:lang w:eastAsia="en-GB"/>
              </w:rPr>
              <w:t>(56,524)</w:t>
            </w:r>
          </w:p>
        </w:tc>
        <w:tc>
          <w:tcPr>
            <w:tcW w:w="493" w:type="pct"/>
            <w:tcBorders>
              <w:top w:val="nil"/>
              <w:left w:val="nil"/>
              <w:bottom w:val="nil"/>
              <w:right w:val="nil"/>
            </w:tcBorders>
            <w:shd w:val="clear" w:color="auto" w:fill="auto"/>
            <w:noWrap/>
            <w:vAlign w:val="bottom"/>
          </w:tcPr>
          <w:p w14:paraId="35212990" w14:textId="03A31627" w:rsidR="000B68BF" w:rsidRPr="00EC690A" w:rsidRDefault="00925374" w:rsidP="000B68BF">
            <w:pPr>
              <w:jc w:val="right"/>
              <w:rPr>
                <w:color w:val="000000"/>
                <w:sz w:val="18"/>
                <w:szCs w:val="18"/>
                <w:lang w:eastAsia="en-GB"/>
              </w:rPr>
            </w:pPr>
            <w:r>
              <w:rPr>
                <w:color w:val="000000"/>
                <w:sz w:val="18"/>
                <w:szCs w:val="18"/>
                <w:lang w:eastAsia="en-GB"/>
              </w:rPr>
              <w:t>-</w:t>
            </w:r>
          </w:p>
        </w:tc>
        <w:tc>
          <w:tcPr>
            <w:tcW w:w="594" w:type="pct"/>
            <w:tcBorders>
              <w:top w:val="nil"/>
              <w:left w:val="nil"/>
              <w:bottom w:val="nil"/>
              <w:right w:val="nil"/>
            </w:tcBorders>
            <w:shd w:val="clear" w:color="auto" w:fill="auto"/>
            <w:noWrap/>
            <w:vAlign w:val="bottom"/>
          </w:tcPr>
          <w:p w14:paraId="5444412B" w14:textId="3E3935F7" w:rsidR="000B68BF" w:rsidRPr="00EC690A" w:rsidRDefault="00925374" w:rsidP="000B68BF">
            <w:pPr>
              <w:jc w:val="right"/>
              <w:rPr>
                <w:b/>
                <w:bCs/>
                <w:color w:val="000000"/>
                <w:sz w:val="18"/>
                <w:szCs w:val="18"/>
                <w:lang w:eastAsia="en-GB"/>
              </w:rPr>
            </w:pPr>
            <w:r>
              <w:rPr>
                <w:b/>
                <w:bCs/>
                <w:color w:val="000000"/>
                <w:sz w:val="18"/>
                <w:szCs w:val="18"/>
                <w:lang w:eastAsia="en-GB"/>
              </w:rPr>
              <w:t>(91.02</w:t>
            </w:r>
            <w:r w:rsidR="00074275">
              <w:rPr>
                <w:b/>
                <w:bCs/>
                <w:color w:val="000000"/>
                <w:sz w:val="18"/>
                <w:szCs w:val="18"/>
                <w:lang w:eastAsia="en-GB"/>
              </w:rPr>
              <w:t>1</w:t>
            </w:r>
            <w:r>
              <w:rPr>
                <w:b/>
                <w:bCs/>
                <w:color w:val="000000"/>
                <w:sz w:val="18"/>
                <w:szCs w:val="18"/>
                <w:lang w:eastAsia="en-GB"/>
              </w:rPr>
              <w:t>)</w:t>
            </w:r>
          </w:p>
        </w:tc>
      </w:tr>
      <w:tr w:rsidR="000B68BF" w:rsidRPr="00EC690A" w14:paraId="147E8780" w14:textId="77777777" w:rsidTr="000B68BF">
        <w:trPr>
          <w:trHeight w:val="300"/>
        </w:trPr>
        <w:tc>
          <w:tcPr>
            <w:tcW w:w="1384" w:type="pct"/>
            <w:tcBorders>
              <w:top w:val="nil"/>
              <w:left w:val="nil"/>
              <w:bottom w:val="nil"/>
              <w:right w:val="nil"/>
            </w:tcBorders>
            <w:shd w:val="clear" w:color="auto" w:fill="auto"/>
            <w:noWrap/>
            <w:vAlign w:val="bottom"/>
            <w:hideMark/>
          </w:tcPr>
          <w:p w14:paraId="479BF95C" w14:textId="77777777" w:rsidR="000B68BF" w:rsidRPr="00EC690A" w:rsidRDefault="000B68BF" w:rsidP="000B68BF">
            <w:pPr>
              <w:rPr>
                <w:color w:val="000000"/>
                <w:sz w:val="18"/>
                <w:szCs w:val="18"/>
                <w:lang w:eastAsia="en-GB"/>
              </w:rPr>
            </w:pPr>
            <w:r w:rsidRPr="00EC690A">
              <w:rPr>
                <w:color w:val="000000"/>
                <w:sz w:val="18"/>
                <w:szCs w:val="18"/>
                <w:lang w:eastAsia="en-GB"/>
              </w:rPr>
              <w:t>Eliminated on disposal</w:t>
            </w:r>
          </w:p>
        </w:tc>
        <w:tc>
          <w:tcPr>
            <w:tcW w:w="551" w:type="pct"/>
            <w:tcBorders>
              <w:top w:val="nil"/>
              <w:left w:val="nil"/>
              <w:bottom w:val="nil"/>
              <w:right w:val="nil"/>
            </w:tcBorders>
            <w:shd w:val="clear" w:color="auto" w:fill="auto"/>
            <w:noWrap/>
            <w:vAlign w:val="bottom"/>
          </w:tcPr>
          <w:p w14:paraId="45BA10D8" w14:textId="5069DB7A" w:rsidR="000B68BF" w:rsidRPr="00EC690A" w:rsidRDefault="00925374" w:rsidP="000B68BF">
            <w:pPr>
              <w:jc w:val="right"/>
              <w:rPr>
                <w:color w:val="000000"/>
                <w:sz w:val="18"/>
                <w:szCs w:val="18"/>
                <w:lang w:eastAsia="en-GB"/>
              </w:rPr>
            </w:pPr>
            <w:r>
              <w:rPr>
                <w:color w:val="000000"/>
                <w:sz w:val="18"/>
                <w:szCs w:val="18"/>
                <w:lang w:eastAsia="en-GB"/>
              </w:rPr>
              <w:t>-</w:t>
            </w:r>
          </w:p>
        </w:tc>
        <w:tc>
          <w:tcPr>
            <w:tcW w:w="583" w:type="pct"/>
            <w:tcBorders>
              <w:top w:val="nil"/>
              <w:left w:val="nil"/>
              <w:bottom w:val="nil"/>
              <w:right w:val="nil"/>
            </w:tcBorders>
            <w:shd w:val="clear" w:color="auto" w:fill="auto"/>
            <w:noWrap/>
            <w:vAlign w:val="bottom"/>
          </w:tcPr>
          <w:p w14:paraId="0E2500D1" w14:textId="0815AC84" w:rsidR="000B68BF" w:rsidRPr="00EC690A" w:rsidRDefault="00925374" w:rsidP="000B68BF">
            <w:pPr>
              <w:jc w:val="right"/>
              <w:rPr>
                <w:color w:val="000000"/>
                <w:sz w:val="18"/>
                <w:szCs w:val="18"/>
                <w:lang w:eastAsia="en-GB"/>
              </w:rPr>
            </w:pPr>
            <w:r>
              <w:rPr>
                <w:color w:val="000000"/>
                <w:sz w:val="18"/>
                <w:szCs w:val="18"/>
                <w:lang w:eastAsia="en-GB"/>
              </w:rPr>
              <w:t>-</w:t>
            </w:r>
          </w:p>
        </w:tc>
        <w:tc>
          <w:tcPr>
            <w:tcW w:w="787" w:type="pct"/>
            <w:tcBorders>
              <w:top w:val="nil"/>
              <w:left w:val="nil"/>
              <w:bottom w:val="nil"/>
              <w:right w:val="nil"/>
            </w:tcBorders>
            <w:shd w:val="clear" w:color="auto" w:fill="auto"/>
            <w:noWrap/>
            <w:vAlign w:val="bottom"/>
          </w:tcPr>
          <w:p w14:paraId="3C9D1D4E" w14:textId="42880B96" w:rsidR="000B68BF" w:rsidRPr="00EC690A" w:rsidRDefault="00925374" w:rsidP="000B68BF">
            <w:pPr>
              <w:jc w:val="right"/>
              <w:rPr>
                <w:color w:val="000000"/>
                <w:sz w:val="18"/>
                <w:szCs w:val="18"/>
                <w:lang w:eastAsia="en-GB"/>
              </w:rPr>
            </w:pPr>
            <w:r>
              <w:rPr>
                <w:color w:val="000000"/>
                <w:sz w:val="18"/>
                <w:szCs w:val="18"/>
                <w:lang w:eastAsia="en-GB"/>
              </w:rPr>
              <w:t>-</w:t>
            </w:r>
          </w:p>
        </w:tc>
        <w:tc>
          <w:tcPr>
            <w:tcW w:w="606" w:type="pct"/>
            <w:tcBorders>
              <w:top w:val="nil"/>
              <w:left w:val="nil"/>
              <w:bottom w:val="nil"/>
              <w:right w:val="nil"/>
            </w:tcBorders>
            <w:shd w:val="clear" w:color="auto" w:fill="auto"/>
            <w:noWrap/>
            <w:vAlign w:val="bottom"/>
          </w:tcPr>
          <w:p w14:paraId="727A08D5" w14:textId="783145D7" w:rsidR="000B68BF" w:rsidRPr="00EC690A" w:rsidRDefault="00925374" w:rsidP="000B68BF">
            <w:pPr>
              <w:jc w:val="right"/>
              <w:rPr>
                <w:color w:val="000000"/>
                <w:sz w:val="18"/>
                <w:szCs w:val="18"/>
                <w:lang w:eastAsia="en-GB"/>
              </w:rPr>
            </w:pPr>
            <w:r>
              <w:rPr>
                <w:color w:val="000000"/>
                <w:sz w:val="18"/>
                <w:szCs w:val="18"/>
                <w:lang w:eastAsia="en-GB"/>
              </w:rPr>
              <w:t>-</w:t>
            </w:r>
          </w:p>
        </w:tc>
        <w:tc>
          <w:tcPr>
            <w:tcW w:w="493" w:type="pct"/>
            <w:tcBorders>
              <w:top w:val="nil"/>
              <w:left w:val="nil"/>
              <w:bottom w:val="nil"/>
              <w:right w:val="nil"/>
            </w:tcBorders>
            <w:shd w:val="clear" w:color="auto" w:fill="auto"/>
            <w:noWrap/>
            <w:vAlign w:val="bottom"/>
          </w:tcPr>
          <w:p w14:paraId="4EB1C8DE" w14:textId="15514CD5" w:rsidR="000B68BF" w:rsidRPr="00EC690A" w:rsidRDefault="00925374" w:rsidP="000B68BF">
            <w:pPr>
              <w:jc w:val="right"/>
              <w:rPr>
                <w:color w:val="000000"/>
                <w:sz w:val="18"/>
                <w:szCs w:val="18"/>
                <w:lang w:eastAsia="en-GB"/>
              </w:rPr>
            </w:pPr>
            <w:r>
              <w:rPr>
                <w:color w:val="000000"/>
                <w:sz w:val="18"/>
                <w:szCs w:val="18"/>
                <w:lang w:eastAsia="en-GB"/>
              </w:rPr>
              <w:t>-</w:t>
            </w:r>
          </w:p>
        </w:tc>
        <w:tc>
          <w:tcPr>
            <w:tcW w:w="594" w:type="pct"/>
            <w:tcBorders>
              <w:top w:val="nil"/>
              <w:left w:val="nil"/>
              <w:bottom w:val="nil"/>
              <w:right w:val="nil"/>
            </w:tcBorders>
            <w:shd w:val="clear" w:color="auto" w:fill="auto"/>
            <w:noWrap/>
            <w:vAlign w:val="bottom"/>
          </w:tcPr>
          <w:p w14:paraId="1573BF4C" w14:textId="6AFD4771" w:rsidR="000B68BF" w:rsidRPr="00EC690A" w:rsidRDefault="00925374" w:rsidP="000B68BF">
            <w:pPr>
              <w:jc w:val="right"/>
              <w:rPr>
                <w:b/>
                <w:bCs/>
                <w:color w:val="000000"/>
                <w:sz w:val="18"/>
                <w:szCs w:val="18"/>
                <w:lang w:eastAsia="en-GB"/>
              </w:rPr>
            </w:pPr>
            <w:r>
              <w:rPr>
                <w:b/>
                <w:bCs/>
                <w:color w:val="000000"/>
                <w:sz w:val="18"/>
                <w:szCs w:val="18"/>
                <w:lang w:eastAsia="en-GB"/>
              </w:rPr>
              <w:t>-</w:t>
            </w:r>
          </w:p>
        </w:tc>
      </w:tr>
      <w:tr w:rsidR="000B68BF" w:rsidRPr="00EC690A" w14:paraId="72449DDF" w14:textId="77777777" w:rsidTr="000B68BF">
        <w:trPr>
          <w:trHeight w:val="300"/>
        </w:trPr>
        <w:tc>
          <w:tcPr>
            <w:tcW w:w="1384" w:type="pct"/>
            <w:tcBorders>
              <w:top w:val="single" w:sz="4" w:space="0" w:color="auto"/>
              <w:left w:val="nil"/>
              <w:bottom w:val="single" w:sz="4" w:space="0" w:color="auto"/>
              <w:right w:val="nil"/>
            </w:tcBorders>
            <w:shd w:val="clear" w:color="auto" w:fill="auto"/>
            <w:noWrap/>
            <w:vAlign w:val="bottom"/>
            <w:hideMark/>
          </w:tcPr>
          <w:p w14:paraId="5520F884" w14:textId="3BDB12F3" w:rsidR="000B68BF" w:rsidRPr="00EC690A" w:rsidRDefault="000B68BF" w:rsidP="000B68BF">
            <w:pPr>
              <w:rPr>
                <w:b/>
                <w:bCs/>
                <w:color w:val="000000"/>
                <w:sz w:val="18"/>
                <w:szCs w:val="18"/>
                <w:lang w:eastAsia="en-GB"/>
              </w:rPr>
            </w:pPr>
            <w:r w:rsidRPr="00EC690A">
              <w:rPr>
                <w:b/>
                <w:bCs/>
                <w:color w:val="000000"/>
                <w:sz w:val="18"/>
                <w:szCs w:val="18"/>
                <w:lang w:eastAsia="en-GB"/>
              </w:rPr>
              <w:t>31 December 201</w:t>
            </w:r>
            <w:r>
              <w:rPr>
                <w:b/>
                <w:bCs/>
                <w:color w:val="000000"/>
                <w:sz w:val="18"/>
                <w:szCs w:val="18"/>
                <w:lang w:eastAsia="en-GB"/>
              </w:rPr>
              <w:t>9</w:t>
            </w:r>
          </w:p>
        </w:tc>
        <w:tc>
          <w:tcPr>
            <w:tcW w:w="551" w:type="pct"/>
            <w:tcBorders>
              <w:top w:val="single" w:sz="4" w:space="0" w:color="auto"/>
              <w:left w:val="nil"/>
              <w:bottom w:val="single" w:sz="4" w:space="0" w:color="auto"/>
              <w:right w:val="nil"/>
            </w:tcBorders>
            <w:shd w:val="clear" w:color="auto" w:fill="auto"/>
            <w:noWrap/>
            <w:vAlign w:val="bottom"/>
          </w:tcPr>
          <w:p w14:paraId="6CEAB093" w14:textId="53BCA353" w:rsidR="000B68BF" w:rsidRPr="00EC690A" w:rsidRDefault="00925374" w:rsidP="000B68BF">
            <w:pPr>
              <w:jc w:val="right"/>
              <w:rPr>
                <w:b/>
                <w:bCs/>
                <w:color w:val="000000"/>
                <w:sz w:val="18"/>
                <w:szCs w:val="18"/>
                <w:lang w:eastAsia="en-GB"/>
              </w:rPr>
            </w:pPr>
            <w:r>
              <w:rPr>
                <w:b/>
                <w:bCs/>
                <w:color w:val="000000"/>
                <w:sz w:val="18"/>
                <w:szCs w:val="18"/>
                <w:lang w:eastAsia="en-GB"/>
              </w:rPr>
              <w:t>(175,346)</w:t>
            </w:r>
          </w:p>
        </w:tc>
        <w:tc>
          <w:tcPr>
            <w:tcW w:w="583" w:type="pct"/>
            <w:tcBorders>
              <w:top w:val="single" w:sz="4" w:space="0" w:color="auto"/>
              <w:left w:val="nil"/>
              <w:bottom w:val="single" w:sz="4" w:space="0" w:color="auto"/>
              <w:right w:val="nil"/>
            </w:tcBorders>
            <w:shd w:val="clear" w:color="auto" w:fill="auto"/>
            <w:noWrap/>
            <w:vAlign w:val="bottom"/>
          </w:tcPr>
          <w:p w14:paraId="0284E254" w14:textId="7FE0EFE3" w:rsidR="000B68BF" w:rsidRPr="00EC690A" w:rsidRDefault="00925374" w:rsidP="000B68BF">
            <w:pPr>
              <w:jc w:val="right"/>
              <w:rPr>
                <w:b/>
                <w:bCs/>
                <w:color w:val="000000"/>
                <w:sz w:val="18"/>
                <w:szCs w:val="18"/>
                <w:lang w:eastAsia="en-GB"/>
              </w:rPr>
            </w:pPr>
            <w:r>
              <w:rPr>
                <w:b/>
                <w:bCs/>
                <w:color w:val="000000"/>
                <w:sz w:val="18"/>
                <w:szCs w:val="18"/>
                <w:lang w:eastAsia="en-GB"/>
              </w:rPr>
              <w:t>(145,392)</w:t>
            </w:r>
          </w:p>
        </w:tc>
        <w:tc>
          <w:tcPr>
            <w:tcW w:w="787" w:type="pct"/>
            <w:tcBorders>
              <w:top w:val="single" w:sz="4" w:space="0" w:color="auto"/>
              <w:left w:val="nil"/>
              <w:bottom w:val="single" w:sz="4" w:space="0" w:color="auto"/>
              <w:right w:val="nil"/>
            </w:tcBorders>
            <w:shd w:val="clear" w:color="auto" w:fill="auto"/>
            <w:noWrap/>
            <w:vAlign w:val="bottom"/>
          </w:tcPr>
          <w:p w14:paraId="3EEB6BC9" w14:textId="63318869" w:rsidR="000B68BF" w:rsidRPr="00EC690A" w:rsidRDefault="00925374" w:rsidP="000B68BF">
            <w:pPr>
              <w:jc w:val="right"/>
              <w:rPr>
                <w:b/>
                <w:bCs/>
                <w:color w:val="000000"/>
                <w:sz w:val="18"/>
                <w:szCs w:val="18"/>
                <w:lang w:eastAsia="en-GB"/>
              </w:rPr>
            </w:pPr>
            <w:r>
              <w:rPr>
                <w:b/>
                <w:bCs/>
                <w:color w:val="000000"/>
                <w:sz w:val="18"/>
                <w:szCs w:val="18"/>
                <w:lang w:eastAsia="en-GB"/>
              </w:rPr>
              <w:t>(92,930)</w:t>
            </w:r>
          </w:p>
        </w:tc>
        <w:tc>
          <w:tcPr>
            <w:tcW w:w="606" w:type="pct"/>
            <w:tcBorders>
              <w:top w:val="single" w:sz="4" w:space="0" w:color="auto"/>
              <w:left w:val="nil"/>
              <w:bottom w:val="single" w:sz="4" w:space="0" w:color="auto"/>
              <w:right w:val="nil"/>
            </w:tcBorders>
            <w:shd w:val="clear" w:color="auto" w:fill="auto"/>
            <w:noWrap/>
            <w:vAlign w:val="bottom"/>
          </w:tcPr>
          <w:p w14:paraId="6892CB7F" w14:textId="22DE0618" w:rsidR="000B68BF" w:rsidRPr="00EC690A" w:rsidRDefault="00925374" w:rsidP="000B68BF">
            <w:pPr>
              <w:jc w:val="right"/>
              <w:rPr>
                <w:b/>
                <w:bCs/>
                <w:color w:val="000000"/>
                <w:sz w:val="18"/>
                <w:szCs w:val="18"/>
                <w:lang w:eastAsia="en-GB"/>
              </w:rPr>
            </w:pPr>
            <w:r>
              <w:rPr>
                <w:b/>
                <w:bCs/>
                <w:color w:val="000000"/>
                <w:sz w:val="18"/>
                <w:szCs w:val="18"/>
                <w:lang w:eastAsia="en-GB"/>
              </w:rPr>
              <w:t>(244,356)</w:t>
            </w:r>
          </w:p>
        </w:tc>
        <w:tc>
          <w:tcPr>
            <w:tcW w:w="493" w:type="pct"/>
            <w:tcBorders>
              <w:top w:val="single" w:sz="4" w:space="0" w:color="auto"/>
              <w:left w:val="nil"/>
              <w:bottom w:val="single" w:sz="4" w:space="0" w:color="auto"/>
              <w:right w:val="nil"/>
            </w:tcBorders>
            <w:shd w:val="clear" w:color="auto" w:fill="auto"/>
            <w:noWrap/>
            <w:vAlign w:val="bottom"/>
          </w:tcPr>
          <w:p w14:paraId="6295B0EF" w14:textId="22250986" w:rsidR="000B68BF" w:rsidRPr="00EC690A" w:rsidRDefault="00925374" w:rsidP="000B68BF">
            <w:pPr>
              <w:jc w:val="right"/>
              <w:rPr>
                <w:b/>
                <w:bCs/>
                <w:color w:val="000000"/>
                <w:sz w:val="18"/>
                <w:szCs w:val="18"/>
                <w:lang w:eastAsia="en-GB"/>
              </w:rPr>
            </w:pPr>
            <w:r>
              <w:rPr>
                <w:b/>
                <w:bCs/>
                <w:color w:val="000000"/>
                <w:sz w:val="18"/>
                <w:szCs w:val="18"/>
                <w:lang w:eastAsia="en-GB"/>
              </w:rPr>
              <w:t>(12,697)</w:t>
            </w:r>
          </w:p>
        </w:tc>
        <w:tc>
          <w:tcPr>
            <w:tcW w:w="594" w:type="pct"/>
            <w:tcBorders>
              <w:top w:val="single" w:sz="4" w:space="0" w:color="auto"/>
              <w:left w:val="nil"/>
              <w:bottom w:val="single" w:sz="4" w:space="0" w:color="auto"/>
              <w:right w:val="nil"/>
            </w:tcBorders>
            <w:shd w:val="clear" w:color="auto" w:fill="auto"/>
            <w:noWrap/>
            <w:vAlign w:val="bottom"/>
          </w:tcPr>
          <w:p w14:paraId="23B1ACF3" w14:textId="43AA606A" w:rsidR="000B68BF" w:rsidRPr="00EC690A" w:rsidRDefault="00925374" w:rsidP="000B68BF">
            <w:pPr>
              <w:jc w:val="right"/>
              <w:rPr>
                <w:b/>
                <w:bCs/>
                <w:color w:val="000000"/>
                <w:sz w:val="18"/>
                <w:szCs w:val="18"/>
                <w:lang w:eastAsia="en-GB"/>
              </w:rPr>
            </w:pPr>
            <w:r>
              <w:rPr>
                <w:b/>
                <w:bCs/>
                <w:color w:val="000000"/>
                <w:sz w:val="18"/>
                <w:szCs w:val="18"/>
                <w:lang w:eastAsia="en-GB"/>
              </w:rPr>
              <w:t>(670.721)</w:t>
            </w:r>
          </w:p>
        </w:tc>
      </w:tr>
      <w:tr w:rsidR="000B68BF" w:rsidRPr="00EC690A" w14:paraId="370D6DD7" w14:textId="77777777" w:rsidTr="000B68BF">
        <w:trPr>
          <w:trHeight w:val="300"/>
        </w:trPr>
        <w:tc>
          <w:tcPr>
            <w:tcW w:w="1384" w:type="pct"/>
            <w:tcBorders>
              <w:top w:val="nil"/>
              <w:left w:val="nil"/>
              <w:bottom w:val="nil"/>
              <w:right w:val="nil"/>
            </w:tcBorders>
            <w:shd w:val="clear" w:color="auto" w:fill="auto"/>
            <w:noWrap/>
            <w:vAlign w:val="bottom"/>
            <w:hideMark/>
          </w:tcPr>
          <w:p w14:paraId="4D696BAC" w14:textId="77777777" w:rsidR="000B68BF" w:rsidRPr="00EC690A" w:rsidRDefault="000B68BF" w:rsidP="000B68BF">
            <w:pPr>
              <w:rPr>
                <w:color w:val="000000"/>
                <w:sz w:val="18"/>
                <w:szCs w:val="18"/>
                <w:lang w:eastAsia="en-GB"/>
              </w:rPr>
            </w:pPr>
          </w:p>
        </w:tc>
        <w:tc>
          <w:tcPr>
            <w:tcW w:w="551" w:type="pct"/>
            <w:tcBorders>
              <w:top w:val="nil"/>
              <w:left w:val="nil"/>
              <w:bottom w:val="nil"/>
              <w:right w:val="nil"/>
            </w:tcBorders>
            <w:shd w:val="clear" w:color="auto" w:fill="auto"/>
            <w:noWrap/>
            <w:vAlign w:val="bottom"/>
          </w:tcPr>
          <w:p w14:paraId="60548278" w14:textId="77777777" w:rsidR="000B68BF" w:rsidRPr="00EC690A" w:rsidRDefault="000B68BF" w:rsidP="000B68BF">
            <w:pPr>
              <w:rPr>
                <w:color w:val="000000"/>
                <w:sz w:val="18"/>
                <w:szCs w:val="18"/>
                <w:lang w:eastAsia="en-GB"/>
              </w:rPr>
            </w:pPr>
          </w:p>
        </w:tc>
        <w:tc>
          <w:tcPr>
            <w:tcW w:w="583" w:type="pct"/>
            <w:tcBorders>
              <w:top w:val="nil"/>
              <w:left w:val="nil"/>
              <w:bottom w:val="nil"/>
              <w:right w:val="nil"/>
            </w:tcBorders>
            <w:shd w:val="clear" w:color="auto" w:fill="auto"/>
            <w:noWrap/>
            <w:vAlign w:val="bottom"/>
          </w:tcPr>
          <w:p w14:paraId="251E1F65" w14:textId="77777777" w:rsidR="000B68BF" w:rsidRPr="00EC690A" w:rsidRDefault="000B68BF" w:rsidP="000B68BF">
            <w:pPr>
              <w:rPr>
                <w:color w:val="000000"/>
                <w:sz w:val="18"/>
                <w:szCs w:val="18"/>
                <w:lang w:eastAsia="en-GB"/>
              </w:rPr>
            </w:pPr>
          </w:p>
        </w:tc>
        <w:tc>
          <w:tcPr>
            <w:tcW w:w="787" w:type="pct"/>
            <w:tcBorders>
              <w:top w:val="nil"/>
              <w:left w:val="nil"/>
              <w:bottom w:val="nil"/>
              <w:right w:val="nil"/>
            </w:tcBorders>
            <w:shd w:val="clear" w:color="auto" w:fill="auto"/>
            <w:noWrap/>
            <w:vAlign w:val="bottom"/>
          </w:tcPr>
          <w:p w14:paraId="0FA72B74" w14:textId="77777777" w:rsidR="000B68BF" w:rsidRPr="00EC690A" w:rsidRDefault="000B68BF" w:rsidP="000B68BF">
            <w:pPr>
              <w:rPr>
                <w:color w:val="000000"/>
                <w:sz w:val="18"/>
                <w:szCs w:val="18"/>
                <w:lang w:eastAsia="en-GB"/>
              </w:rPr>
            </w:pPr>
          </w:p>
        </w:tc>
        <w:tc>
          <w:tcPr>
            <w:tcW w:w="606" w:type="pct"/>
            <w:tcBorders>
              <w:top w:val="nil"/>
              <w:left w:val="nil"/>
              <w:bottom w:val="nil"/>
              <w:right w:val="nil"/>
            </w:tcBorders>
            <w:shd w:val="clear" w:color="auto" w:fill="auto"/>
            <w:noWrap/>
            <w:vAlign w:val="bottom"/>
          </w:tcPr>
          <w:p w14:paraId="1B3AB8BD" w14:textId="77777777" w:rsidR="000B68BF" w:rsidRPr="00EC690A" w:rsidRDefault="000B68BF" w:rsidP="000B68BF">
            <w:pPr>
              <w:rPr>
                <w:color w:val="000000"/>
                <w:sz w:val="18"/>
                <w:szCs w:val="18"/>
                <w:lang w:eastAsia="en-GB"/>
              </w:rPr>
            </w:pPr>
          </w:p>
        </w:tc>
        <w:tc>
          <w:tcPr>
            <w:tcW w:w="493" w:type="pct"/>
            <w:tcBorders>
              <w:top w:val="nil"/>
              <w:left w:val="nil"/>
              <w:bottom w:val="nil"/>
              <w:right w:val="nil"/>
            </w:tcBorders>
            <w:shd w:val="clear" w:color="auto" w:fill="auto"/>
            <w:noWrap/>
            <w:vAlign w:val="bottom"/>
          </w:tcPr>
          <w:p w14:paraId="36CDFBF5" w14:textId="77777777" w:rsidR="000B68BF" w:rsidRPr="00EC690A" w:rsidRDefault="000B68BF" w:rsidP="000B68BF">
            <w:pPr>
              <w:rPr>
                <w:color w:val="000000"/>
                <w:sz w:val="18"/>
                <w:szCs w:val="18"/>
                <w:lang w:eastAsia="en-GB"/>
              </w:rPr>
            </w:pPr>
          </w:p>
        </w:tc>
        <w:tc>
          <w:tcPr>
            <w:tcW w:w="594" w:type="pct"/>
            <w:tcBorders>
              <w:top w:val="nil"/>
              <w:left w:val="nil"/>
              <w:bottom w:val="nil"/>
              <w:right w:val="nil"/>
            </w:tcBorders>
            <w:shd w:val="clear" w:color="auto" w:fill="auto"/>
            <w:noWrap/>
            <w:vAlign w:val="bottom"/>
          </w:tcPr>
          <w:p w14:paraId="1747C2EB" w14:textId="77777777" w:rsidR="000B68BF" w:rsidRPr="00EC690A" w:rsidRDefault="000B68BF" w:rsidP="000B68BF">
            <w:pPr>
              <w:rPr>
                <w:b/>
                <w:bCs/>
                <w:color w:val="000000"/>
                <w:sz w:val="18"/>
                <w:szCs w:val="18"/>
                <w:lang w:eastAsia="en-GB"/>
              </w:rPr>
            </w:pPr>
          </w:p>
        </w:tc>
      </w:tr>
      <w:tr w:rsidR="000B68BF" w:rsidRPr="00EC690A" w14:paraId="7917D490" w14:textId="77777777" w:rsidTr="000B68BF">
        <w:trPr>
          <w:trHeight w:val="300"/>
        </w:trPr>
        <w:tc>
          <w:tcPr>
            <w:tcW w:w="1384" w:type="pct"/>
            <w:tcBorders>
              <w:top w:val="nil"/>
              <w:left w:val="nil"/>
              <w:bottom w:val="nil"/>
              <w:right w:val="nil"/>
            </w:tcBorders>
            <w:shd w:val="clear" w:color="auto" w:fill="auto"/>
            <w:noWrap/>
            <w:vAlign w:val="bottom"/>
            <w:hideMark/>
          </w:tcPr>
          <w:p w14:paraId="193B9AFD" w14:textId="77777777" w:rsidR="000B68BF" w:rsidRPr="00EC690A" w:rsidRDefault="000B68BF" w:rsidP="000B68BF">
            <w:pPr>
              <w:rPr>
                <w:b/>
                <w:bCs/>
                <w:color w:val="000000"/>
                <w:sz w:val="18"/>
                <w:szCs w:val="18"/>
                <w:lang w:eastAsia="en-GB"/>
              </w:rPr>
            </w:pPr>
            <w:r w:rsidRPr="00EC690A">
              <w:rPr>
                <w:b/>
                <w:bCs/>
                <w:color w:val="000000"/>
                <w:sz w:val="18"/>
                <w:szCs w:val="18"/>
                <w:lang w:eastAsia="en-GB"/>
              </w:rPr>
              <w:t>Net book value</w:t>
            </w:r>
          </w:p>
        </w:tc>
        <w:tc>
          <w:tcPr>
            <w:tcW w:w="551" w:type="pct"/>
            <w:tcBorders>
              <w:top w:val="nil"/>
              <w:left w:val="nil"/>
              <w:bottom w:val="nil"/>
              <w:right w:val="nil"/>
            </w:tcBorders>
            <w:shd w:val="clear" w:color="auto" w:fill="auto"/>
            <w:noWrap/>
            <w:vAlign w:val="bottom"/>
          </w:tcPr>
          <w:p w14:paraId="1EB59322" w14:textId="77777777" w:rsidR="000B68BF" w:rsidRPr="00EC690A" w:rsidRDefault="000B68BF" w:rsidP="000B68BF">
            <w:pPr>
              <w:rPr>
                <w:b/>
                <w:bCs/>
                <w:color w:val="000000"/>
                <w:sz w:val="18"/>
                <w:szCs w:val="18"/>
                <w:lang w:eastAsia="en-GB"/>
              </w:rPr>
            </w:pPr>
          </w:p>
        </w:tc>
        <w:tc>
          <w:tcPr>
            <w:tcW w:w="583" w:type="pct"/>
            <w:tcBorders>
              <w:top w:val="nil"/>
              <w:left w:val="nil"/>
              <w:bottom w:val="nil"/>
              <w:right w:val="nil"/>
            </w:tcBorders>
            <w:shd w:val="clear" w:color="auto" w:fill="auto"/>
            <w:noWrap/>
            <w:vAlign w:val="bottom"/>
          </w:tcPr>
          <w:p w14:paraId="36DA542C" w14:textId="77777777" w:rsidR="000B68BF" w:rsidRPr="00EC690A" w:rsidRDefault="000B68BF" w:rsidP="000B68BF">
            <w:pPr>
              <w:rPr>
                <w:b/>
                <w:bCs/>
                <w:color w:val="000000"/>
                <w:sz w:val="18"/>
                <w:szCs w:val="18"/>
                <w:lang w:eastAsia="en-GB"/>
              </w:rPr>
            </w:pPr>
          </w:p>
        </w:tc>
        <w:tc>
          <w:tcPr>
            <w:tcW w:w="787" w:type="pct"/>
            <w:tcBorders>
              <w:top w:val="nil"/>
              <w:left w:val="nil"/>
              <w:bottom w:val="nil"/>
              <w:right w:val="nil"/>
            </w:tcBorders>
            <w:shd w:val="clear" w:color="auto" w:fill="auto"/>
            <w:noWrap/>
            <w:vAlign w:val="bottom"/>
          </w:tcPr>
          <w:p w14:paraId="70DBE723" w14:textId="77777777" w:rsidR="000B68BF" w:rsidRPr="00EC690A" w:rsidRDefault="000B68BF" w:rsidP="000B68BF">
            <w:pPr>
              <w:rPr>
                <w:b/>
                <w:bCs/>
                <w:color w:val="000000"/>
                <w:sz w:val="18"/>
                <w:szCs w:val="18"/>
                <w:lang w:eastAsia="en-GB"/>
              </w:rPr>
            </w:pPr>
          </w:p>
        </w:tc>
        <w:tc>
          <w:tcPr>
            <w:tcW w:w="606" w:type="pct"/>
            <w:tcBorders>
              <w:top w:val="nil"/>
              <w:left w:val="nil"/>
              <w:bottom w:val="nil"/>
              <w:right w:val="nil"/>
            </w:tcBorders>
            <w:shd w:val="clear" w:color="auto" w:fill="auto"/>
            <w:noWrap/>
            <w:vAlign w:val="bottom"/>
          </w:tcPr>
          <w:p w14:paraId="3F3F0AAC" w14:textId="77777777" w:rsidR="000B68BF" w:rsidRPr="00EC690A" w:rsidRDefault="000B68BF" w:rsidP="000B68BF">
            <w:pPr>
              <w:rPr>
                <w:b/>
                <w:bCs/>
                <w:color w:val="000000"/>
                <w:sz w:val="18"/>
                <w:szCs w:val="18"/>
                <w:lang w:eastAsia="en-GB"/>
              </w:rPr>
            </w:pPr>
          </w:p>
        </w:tc>
        <w:tc>
          <w:tcPr>
            <w:tcW w:w="493" w:type="pct"/>
            <w:tcBorders>
              <w:top w:val="nil"/>
              <w:left w:val="nil"/>
              <w:bottom w:val="nil"/>
              <w:right w:val="nil"/>
            </w:tcBorders>
            <w:shd w:val="clear" w:color="auto" w:fill="auto"/>
            <w:noWrap/>
            <w:vAlign w:val="bottom"/>
          </w:tcPr>
          <w:p w14:paraId="7089441E" w14:textId="77777777" w:rsidR="000B68BF" w:rsidRPr="00EC690A" w:rsidRDefault="000B68BF" w:rsidP="000B68BF">
            <w:pPr>
              <w:rPr>
                <w:b/>
                <w:bCs/>
                <w:color w:val="000000"/>
                <w:sz w:val="18"/>
                <w:szCs w:val="18"/>
                <w:lang w:eastAsia="en-GB"/>
              </w:rPr>
            </w:pPr>
          </w:p>
        </w:tc>
        <w:tc>
          <w:tcPr>
            <w:tcW w:w="594" w:type="pct"/>
            <w:tcBorders>
              <w:top w:val="nil"/>
              <w:left w:val="nil"/>
              <w:bottom w:val="nil"/>
              <w:right w:val="nil"/>
            </w:tcBorders>
            <w:shd w:val="clear" w:color="auto" w:fill="auto"/>
            <w:noWrap/>
            <w:vAlign w:val="bottom"/>
          </w:tcPr>
          <w:p w14:paraId="5D0738B8" w14:textId="77777777" w:rsidR="000B68BF" w:rsidRPr="00EC690A" w:rsidRDefault="000B68BF" w:rsidP="000B68BF">
            <w:pPr>
              <w:rPr>
                <w:b/>
                <w:bCs/>
                <w:color w:val="000000"/>
                <w:sz w:val="18"/>
                <w:szCs w:val="18"/>
                <w:lang w:eastAsia="en-GB"/>
              </w:rPr>
            </w:pPr>
          </w:p>
        </w:tc>
      </w:tr>
      <w:tr w:rsidR="000B68BF" w:rsidRPr="00EC690A" w14:paraId="66219AAB" w14:textId="77777777" w:rsidTr="000B68BF">
        <w:trPr>
          <w:trHeight w:val="300"/>
        </w:trPr>
        <w:tc>
          <w:tcPr>
            <w:tcW w:w="1384" w:type="pct"/>
            <w:tcBorders>
              <w:top w:val="single" w:sz="4" w:space="0" w:color="auto"/>
              <w:left w:val="nil"/>
              <w:bottom w:val="single" w:sz="4" w:space="0" w:color="auto"/>
              <w:right w:val="nil"/>
            </w:tcBorders>
            <w:shd w:val="clear" w:color="auto" w:fill="auto"/>
            <w:noWrap/>
            <w:vAlign w:val="bottom"/>
            <w:hideMark/>
          </w:tcPr>
          <w:p w14:paraId="2242A3D5" w14:textId="287DF070" w:rsidR="000B68BF" w:rsidRPr="00EC690A" w:rsidRDefault="000B68BF" w:rsidP="000B68BF">
            <w:pPr>
              <w:rPr>
                <w:b/>
                <w:bCs/>
                <w:color w:val="000000"/>
                <w:sz w:val="18"/>
                <w:szCs w:val="18"/>
                <w:lang w:eastAsia="en-GB"/>
              </w:rPr>
            </w:pPr>
            <w:r w:rsidRPr="00EC690A">
              <w:rPr>
                <w:b/>
                <w:bCs/>
                <w:color w:val="000000"/>
                <w:sz w:val="18"/>
                <w:szCs w:val="18"/>
                <w:lang w:eastAsia="en-GB"/>
              </w:rPr>
              <w:t>31 December 201</w:t>
            </w:r>
            <w:r>
              <w:rPr>
                <w:b/>
                <w:bCs/>
                <w:color w:val="000000"/>
                <w:sz w:val="18"/>
                <w:szCs w:val="18"/>
                <w:lang w:eastAsia="en-GB"/>
              </w:rPr>
              <w:t>8</w:t>
            </w:r>
          </w:p>
        </w:tc>
        <w:tc>
          <w:tcPr>
            <w:tcW w:w="551" w:type="pct"/>
            <w:tcBorders>
              <w:top w:val="single" w:sz="4" w:space="0" w:color="auto"/>
              <w:left w:val="nil"/>
              <w:bottom w:val="single" w:sz="4" w:space="0" w:color="auto"/>
              <w:right w:val="nil"/>
            </w:tcBorders>
            <w:shd w:val="clear" w:color="auto" w:fill="auto"/>
            <w:noWrap/>
            <w:vAlign w:val="bottom"/>
          </w:tcPr>
          <w:p w14:paraId="7193DE3E" w14:textId="3E2E5FAA" w:rsidR="000B68BF" w:rsidRPr="00EC690A" w:rsidRDefault="000B68BF" w:rsidP="000B68BF">
            <w:pPr>
              <w:jc w:val="right"/>
              <w:rPr>
                <w:b/>
                <w:bCs/>
                <w:color w:val="000000"/>
                <w:sz w:val="18"/>
                <w:szCs w:val="18"/>
                <w:lang w:eastAsia="en-GB"/>
              </w:rPr>
            </w:pPr>
            <w:r>
              <w:rPr>
                <w:b/>
                <w:bCs/>
                <w:color w:val="000000"/>
                <w:sz w:val="18"/>
                <w:szCs w:val="18"/>
                <w:lang w:eastAsia="en-GB"/>
              </w:rPr>
              <w:t>193,429</w:t>
            </w:r>
          </w:p>
        </w:tc>
        <w:tc>
          <w:tcPr>
            <w:tcW w:w="583" w:type="pct"/>
            <w:tcBorders>
              <w:top w:val="single" w:sz="4" w:space="0" w:color="auto"/>
              <w:left w:val="nil"/>
              <w:bottom w:val="single" w:sz="4" w:space="0" w:color="auto"/>
              <w:right w:val="nil"/>
            </w:tcBorders>
            <w:shd w:val="clear" w:color="auto" w:fill="auto"/>
            <w:noWrap/>
            <w:vAlign w:val="bottom"/>
          </w:tcPr>
          <w:p w14:paraId="50C1F5BF" w14:textId="36FE3C85" w:rsidR="000B68BF" w:rsidRPr="00EC690A" w:rsidRDefault="000B68BF" w:rsidP="000B68BF">
            <w:pPr>
              <w:jc w:val="right"/>
              <w:rPr>
                <w:b/>
                <w:bCs/>
                <w:color w:val="000000"/>
                <w:sz w:val="18"/>
                <w:szCs w:val="18"/>
                <w:lang w:eastAsia="en-GB"/>
              </w:rPr>
            </w:pPr>
            <w:r>
              <w:rPr>
                <w:b/>
                <w:bCs/>
                <w:color w:val="000000"/>
                <w:sz w:val="18"/>
                <w:szCs w:val="18"/>
                <w:lang w:eastAsia="en-GB"/>
              </w:rPr>
              <w:t>3,828</w:t>
            </w:r>
          </w:p>
        </w:tc>
        <w:tc>
          <w:tcPr>
            <w:tcW w:w="787" w:type="pct"/>
            <w:tcBorders>
              <w:top w:val="single" w:sz="4" w:space="0" w:color="auto"/>
              <w:left w:val="nil"/>
              <w:bottom w:val="single" w:sz="4" w:space="0" w:color="auto"/>
              <w:right w:val="nil"/>
            </w:tcBorders>
            <w:shd w:val="clear" w:color="auto" w:fill="auto"/>
            <w:noWrap/>
            <w:vAlign w:val="bottom"/>
          </w:tcPr>
          <w:p w14:paraId="3BFD78BA" w14:textId="6479FFE0" w:rsidR="000B68BF" w:rsidRPr="00EC690A" w:rsidRDefault="000B68BF" w:rsidP="000B68BF">
            <w:pPr>
              <w:jc w:val="right"/>
              <w:rPr>
                <w:b/>
                <w:bCs/>
                <w:color w:val="000000"/>
                <w:sz w:val="18"/>
                <w:szCs w:val="18"/>
                <w:lang w:eastAsia="en-GB"/>
              </w:rPr>
            </w:pPr>
            <w:r>
              <w:rPr>
                <w:b/>
                <w:bCs/>
                <w:color w:val="000000"/>
                <w:sz w:val="18"/>
                <w:szCs w:val="18"/>
                <w:lang w:eastAsia="en-GB"/>
              </w:rPr>
              <w:t>26,005</w:t>
            </w:r>
          </w:p>
        </w:tc>
        <w:tc>
          <w:tcPr>
            <w:tcW w:w="606" w:type="pct"/>
            <w:tcBorders>
              <w:top w:val="single" w:sz="4" w:space="0" w:color="auto"/>
              <w:left w:val="nil"/>
              <w:bottom w:val="single" w:sz="4" w:space="0" w:color="auto"/>
              <w:right w:val="nil"/>
            </w:tcBorders>
            <w:shd w:val="clear" w:color="auto" w:fill="auto"/>
            <w:noWrap/>
            <w:vAlign w:val="bottom"/>
          </w:tcPr>
          <w:p w14:paraId="060D5755" w14:textId="3B14EAE9" w:rsidR="000B68BF" w:rsidRPr="00EC690A" w:rsidRDefault="00CE428A" w:rsidP="000B68BF">
            <w:pPr>
              <w:jc w:val="right"/>
              <w:rPr>
                <w:b/>
                <w:bCs/>
                <w:color w:val="000000"/>
                <w:sz w:val="18"/>
                <w:szCs w:val="18"/>
                <w:lang w:eastAsia="en-GB"/>
              </w:rPr>
            </w:pPr>
            <w:r>
              <w:rPr>
                <w:b/>
                <w:bCs/>
                <w:color w:val="000000"/>
                <w:sz w:val="18"/>
                <w:szCs w:val="18"/>
                <w:lang w:eastAsia="en-GB"/>
              </w:rPr>
              <w:t>36,579</w:t>
            </w:r>
          </w:p>
        </w:tc>
        <w:tc>
          <w:tcPr>
            <w:tcW w:w="493" w:type="pct"/>
            <w:tcBorders>
              <w:top w:val="single" w:sz="4" w:space="0" w:color="auto"/>
              <w:left w:val="nil"/>
              <w:bottom w:val="single" w:sz="4" w:space="0" w:color="auto"/>
              <w:right w:val="nil"/>
            </w:tcBorders>
            <w:shd w:val="clear" w:color="auto" w:fill="auto"/>
            <w:noWrap/>
            <w:vAlign w:val="bottom"/>
          </w:tcPr>
          <w:p w14:paraId="48DC1099" w14:textId="7CF31263" w:rsidR="000B68BF" w:rsidRPr="00EC690A" w:rsidRDefault="00CE428A" w:rsidP="000B68BF">
            <w:pPr>
              <w:jc w:val="right"/>
              <w:rPr>
                <w:b/>
                <w:bCs/>
                <w:color w:val="000000"/>
                <w:sz w:val="18"/>
                <w:szCs w:val="18"/>
                <w:lang w:eastAsia="en-GB"/>
              </w:rPr>
            </w:pPr>
            <w:r>
              <w:rPr>
                <w:b/>
                <w:bCs/>
                <w:color w:val="000000"/>
                <w:sz w:val="18"/>
                <w:szCs w:val="18"/>
                <w:lang w:eastAsia="en-GB"/>
              </w:rPr>
              <w:t>-</w:t>
            </w:r>
          </w:p>
        </w:tc>
        <w:tc>
          <w:tcPr>
            <w:tcW w:w="594" w:type="pct"/>
            <w:tcBorders>
              <w:top w:val="single" w:sz="4" w:space="0" w:color="auto"/>
              <w:left w:val="nil"/>
              <w:bottom w:val="single" w:sz="4" w:space="0" w:color="auto"/>
              <w:right w:val="nil"/>
            </w:tcBorders>
            <w:shd w:val="clear" w:color="auto" w:fill="auto"/>
            <w:noWrap/>
            <w:vAlign w:val="bottom"/>
          </w:tcPr>
          <w:p w14:paraId="3D75AAAE" w14:textId="343A8A7F" w:rsidR="000B68BF" w:rsidRPr="00EC690A" w:rsidRDefault="000B68BF" w:rsidP="000B68BF">
            <w:pPr>
              <w:jc w:val="right"/>
              <w:rPr>
                <w:b/>
                <w:bCs/>
                <w:color w:val="000000"/>
                <w:sz w:val="18"/>
                <w:szCs w:val="18"/>
                <w:lang w:eastAsia="en-GB"/>
              </w:rPr>
            </w:pPr>
            <w:r>
              <w:rPr>
                <w:b/>
                <w:bCs/>
                <w:color w:val="000000"/>
                <w:sz w:val="18"/>
                <w:szCs w:val="18"/>
                <w:lang w:eastAsia="en-GB"/>
              </w:rPr>
              <w:t>259,841</w:t>
            </w:r>
          </w:p>
        </w:tc>
      </w:tr>
      <w:tr w:rsidR="000B68BF" w:rsidRPr="00EC690A" w14:paraId="20BDC196" w14:textId="77777777" w:rsidTr="000B68BF">
        <w:trPr>
          <w:trHeight w:val="297"/>
        </w:trPr>
        <w:tc>
          <w:tcPr>
            <w:tcW w:w="1384" w:type="pct"/>
            <w:tcBorders>
              <w:top w:val="nil"/>
              <w:left w:val="nil"/>
              <w:bottom w:val="double" w:sz="6" w:space="0" w:color="auto"/>
              <w:right w:val="nil"/>
            </w:tcBorders>
            <w:shd w:val="clear" w:color="auto" w:fill="auto"/>
            <w:noWrap/>
            <w:vAlign w:val="bottom"/>
            <w:hideMark/>
          </w:tcPr>
          <w:p w14:paraId="32377A93" w14:textId="2DDD4F6B" w:rsidR="000B68BF" w:rsidRPr="00EC690A" w:rsidRDefault="000B68BF" w:rsidP="000B68BF">
            <w:pPr>
              <w:rPr>
                <w:b/>
                <w:bCs/>
                <w:color w:val="000000"/>
                <w:sz w:val="18"/>
                <w:szCs w:val="18"/>
                <w:lang w:eastAsia="en-GB"/>
              </w:rPr>
            </w:pPr>
            <w:r w:rsidRPr="00EC690A">
              <w:rPr>
                <w:b/>
                <w:bCs/>
                <w:color w:val="000000"/>
                <w:sz w:val="18"/>
                <w:szCs w:val="18"/>
                <w:lang w:eastAsia="en-GB"/>
              </w:rPr>
              <w:t>31 December 201</w:t>
            </w:r>
            <w:r>
              <w:rPr>
                <w:b/>
                <w:bCs/>
                <w:color w:val="000000"/>
                <w:sz w:val="18"/>
                <w:szCs w:val="18"/>
                <w:lang w:eastAsia="en-GB"/>
              </w:rPr>
              <w:t>9</w:t>
            </w:r>
          </w:p>
        </w:tc>
        <w:tc>
          <w:tcPr>
            <w:tcW w:w="551" w:type="pct"/>
            <w:tcBorders>
              <w:top w:val="nil"/>
              <w:left w:val="nil"/>
              <w:bottom w:val="double" w:sz="6" w:space="0" w:color="auto"/>
              <w:right w:val="nil"/>
            </w:tcBorders>
            <w:shd w:val="clear" w:color="auto" w:fill="auto"/>
            <w:noWrap/>
            <w:vAlign w:val="bottom"/>
          </w:tcPr>
          <w:p w14:paraId="156614D3" w14:textId="3484058A" w:rsidR="000B68BF" w:rsidRPr="00EC690A" w:rsidRDefault="00925374" w:rsidP="000B68BF">
            <w:pPr>
              <w:jc w:val="right"/>
              <w:rPr>
                <w:b/>
                <w:bCs/>
                <w:color w:val="000000"/>
                <w:sz w:val="18"/>
                <w:szCs w:val="18"/>
                <w:lang w:eastAsia="en-GB"/>
              </w:rPr>
            </w:pPr>
            <w:r>
              <w:rPr>
                <w:b/>
                <w:bCs/>
                <w:color w:val="000000"/>
                <w:sz w:val="18"/>
                <w:szCs w:val="18"/>
                <w:lang w:eastAsia="en-GB"/>
              </w:rPr>
              <w:t>171,504</w:t>
            </w:r>
          </w:p>
        </w:tc>
        <w:tc>
          <w:tcPr>
            <w:tcW w:w="583" w:type="pct"/>
            <w:tcBorders>
              <w:top w:val="nil"/>
              <w:left w:val="nil"/>
              <w:bottom w:val="double" w:sz="6" w:space="0" w:color="auto"/>
              <w:right w:val="nil"/>
            </w:tcBorders>
            <w:shd w:val="clear" w:color="auto" w:fill="auto"/>
            <w:noWrap/>
            <w:vAlign w:val="bottom"/>
          </w:tcPr>
          <w:p w14:paraId="083997B5" w14:textId="3E26B559" w:rsidR="000B68BF" w:rsidRPr="00EC690A" w:rsidRDefault="00925374" w:rsidP="000B68BF">
            <w:pPr>
              <w:jc w:val="right"/>
              <w:rPr>
                <w:b/>
                <w:bCs/>
                <w:color w:val="000000"/>
                <w:sz w:val="18"/>
                <w:szCs w:val="18"/>
                <w:lang w:eastAsia="en-GB"/>
              </w:rPr>
            </w:pPr>
            <w:r>
              <w:rPr>
                <w:b/>
                <w:bCs/>
                <w:color w:val="000000"/>
                <w:sz w:val="18"/>
                <w:szCs w:val="18"/>
                <w:lang w:eastAsia="en-GB"/>
              </w:rPr>
              <w:t>2,368</w:t>
            </w:r>
          </w:p>
        </w:tc>
        <w:tc>
          <w:tcPr>
            <w:tcW w:w="787" w:type="pct"/>
            <w:tcBorders>
              <w:top w:val="nil"/>
              <w:left w:val="nil"/>
              <w:bottom w:val="double" w:sz="6" w:space="0" w:color="auto"/>
              <w:right w:val="nil"/>
            </w:tcBorders>
            <w:shd w:val="clear" w:color="auto" w:fill="auto"/>
            <w:noWrap/>
            <w:vAlign w:val="bottom"/>
          </w:tcPr>
          <w:p w14:paraId="247D9EF2" w14:textId="622058BB" w:rsidR="000B68BF" w:rsidRPr="00EC690A" w:rsidRDefault="00925374" w:rsidP="000B68BF">
            <w:pPr>
              <w:jc w:val="right"/>
              <w:rPr>
                <w:b/>
                <w:bCs/>
                <w:color w:val="000000"/>
                <w:sz w:val="18"/>
                <w:szCs w:val="18"/>
                <w:lang w:eastAsia="en-GB"/>
              </w:rPr>
            </w:pPr>
            <w:r>
              <w:rPr>
                <w:b/>
                <w:bCs/>
                <w:color w:val="000000"/>
                <w:sz w:val="18"/>
                <w:szCs w:val="18"/>
                <w:lang w:eastAsia="en-GB"/>
              </w:rPr>
              <w:t>31,220</w:t>
            </w:r>
          </w:p>
        </w:tc>
        <w:tc>
          <w:tcPr>
            <w:tcW w:w="606" w:type="pct"/>
            <w:tcBorders>
              <w:top w:val="nil"/>
              <w:left w:val="nil"/>
              <w:bottom w:val="double" w:sz="6" w:space="0" w:color="auto"/>
              <w:right w:val="nil"/>
            </w:tcBorders>
            <w:shd w:val="clear" w:color="auto" w:fill="auto"/>
            <w:noWrap/>
            <w:vAlign w:val="bottom"/>
          </w:tcPr>
          <w:p w14:paraId="0247797E" w14:textId="60A13F3B" w:rsidR="000B68BF" w:rsidRPr="00EC690A" w:rsidRDefault="00925374" w:rsidP="000B68BF">
            <w:pPr>
              <w:jc w:val="right"/>
              <w:rPr>
                <w:b/>
                <w:bCs/>
                <w:color w:val="000000"/>
                <w:sz w:val="18"/>
                <w:szCs w:val="18"/>
                <w:lang w:eastAsia="en-GB"/>
              </w:rPr>
            </w:pPr>
            <w:r>
              <w:rPr>
                <w:b/>
                <w:bCs/>
                <w:color w:val="000000"/>
                <w:sz w:val="18"/>
                <w:szCs w:val="18"/>
                <w:lang w:eastAsia="en-GB"/>
              </w:rPr>
              <w:t>316,016</w:t>
            </w:r>
          </w:p>
        </w:tc>
        <w:tc>
          <w:tcPr>
            <w:tcW w:w="493" w:type="pct"/>
            <w:tcBorders>
              <w:top w:val="nil"/>
              <w:left w:val="nil"/>
              <w:bottom w:val="double" w:sz="6" w:space="0" w:color="auto"/>
              <w:right w:val="nil"/>
            </w:tcBorders>
            <w:shd w:val="clear" w:color="auto" w:fill="auto"/>
            <w:noWrap/>
            <w:vAlign w:val="bottom"/>
          </w:tcPr>
          <w:p w14:paraId="0B0C8682" w14:textId="25039BB1" w:rsidR="000B68BF" w:rsidRPr="00EC690A" w:rsidRDefault="00925374" w:rsidP="000B68BF">
            <w:pPr>
              <w:jc w:val="right"/>
              <w:rPr>
                <w:b/>
                <w:bCs/>
                <w:color w:val="000000"/>
                <w:sz w:val="18"/>
                <w:szCs w:val="18"/>
                <w:lang w:eastAsia="en-GB"/>
              </w:rPr>
            </w:pPr>
            <w:r>
              <w:rPr>
                <w:b/>
                <w:bCs/>
                <w:color w:val="000000"/>
                <w:sz w:val="18"/>
                <w:szCs w:val="18"/>
                <w:lang w:eastAsia="en-GB"/>
              </w:rPr>
              <w:t>-</w:t>
            </w:r>
          </w:p>
        </w:tc>
        <w:tc>
          <w:tcPr>
            <w:tcW w:w="594" w:type="pct"/>
            <w:tcBorders>
              <w:top w:val="nil"/>
              <w:left w:val="nil"/>
              <w:bottom w:val="double" w:sz="6" w:space="0" w:color="auto"/>
              <w:right w:val="nil"/>
            </w:tcBorders>
            <w:shd w:val="clear" w:color="auto" w:fill="auto"/>
            <w:noWrap/>
            <w:vAlign w:val="bottom"/>
          </w:tcPr>
          <w:p w14:paraId="7A90D163" w14:textId="530DDECB" w:rsidR="000B68BF" w:rsidRPr="00EC690A" w:rsidRDefault="00925374" w:rsidP="000B68BF">
            <w:pPr>
              <w:jc w:val="right"/>
              <w:rPr>
                <w:b/>
                <w:bCs/>
                <w:color w:val="000000"/>
                <w:sz w:val="18"/>
                <w:szCs w:val="18"/>
                <w:lang w:eastAsia="en-GB"/>
              </w:rPr>
            </w:pPr>
            <w:r>
              <w:rPr>
                <w:b/>
                <w:bCs/>
                <w:color w:val="000000"/>
                <w:sz w:val="18"/>
                <w:szCs w:val="18"/>
                <w:lang w:eastAsia="en-GB"/>
              </w:rPr>
              <w:t>521,108</w:t>
            </w:r>
          </w:p>
        </w:tc>
      </w:tr>
    </w:tbl>
    <w:p w14:paraId="465358B7" w14:textId="067F43CB" w:rsidR="006304E8" w:rsidRDefault="006304E8" w:rsidP="006304E8">
      <w:pPr>
        <w:spacing w:before="120" w:after="120"/>
        <w:rPr>
          <w:b/>
          <w:bCs/>
          <w:sz w:val="18"/>
          <w:szCs w:val="18"/>
          <w:lang w:val="en-US"/>
        </w:rPr>
      </w:pPr>
    </w:p>
    <w:p w14:paraId="60B4E31D" w14:textId="545DD9CE" w:rsidR="000B68BF" w:rsidRPr="000B68BF" w:rsidRDefault="000B68BF" w:rsidP="000B68BF">
      <w:pPr>
        <w:spacing w:before="120" w:after="120"/>
        <w:rPr>
          <w:sz w:val="18"/>
          <w:szCs w:val="18"/>
          <w:lang w:val="en-US"/>
        </w:rPr>
      </w:pPr>
      <w:r w:rsidRPr="000B68BF">
        <w:rPr>
          <w:sz w:val="18"/>
          <w:szCs w:val="18"/>
          <w:lang w:val="en-US"/>
        </w:rPr>
        <w:t>Movements in property and equipment for the year ended 31 December 201</w:t>
      </w:r>
      <w:r>
        <w:rPr>
          <w:sz w:val="18"/>
          <w:szCs w:val="18"/>
          <w:lang w:val="en-US"/>
        </w:rPr>
        <w:t>8</w:t>
      </w:r>
      <w:r w:rsidRPr="000B68BF">
        <w:rPr>
          <w:sz w:val="18"/>
          <w:szCs w:val="18"/>
          <w:lang w:val="en-US"/>
        </w:rPr>
        <w:t xml:space="preserve"> were as follow:</w:t>
      </w:r>
    </w:p>
    <w:tbl>
      <w:tblPr>
        <w:tblW w:w="5048" w:type="pct"/>
        <w:tblLayout w:type="fixed"/>
        <w:tblLook w:val="04A0" w:firstRow="1" w:lastRow="0" w:firstColumn="1" w:lastColumn="0" w:noHBand="0" w:noVBand="1"/>
      </w:tblPr>
      <w:tblGrid>
        <w:gridCol w:w="2433"/>
        <w:gridCol w:w="1049"/>
        <w:gridCol w:w="1048"/>
        <w:gridCol w:w="1281"/>
        <w:gridCol w:w="1048"/>
        <w:gridCol w:w="942"/>
        <w:gridCol w:w="1048"/>
      </w:tblGrid>
      <w:tr w:rsidR="000B68BF" w:rsidRPr="00EC690A" w14:paraId="49A846D6" w14:textId="77777777" w:rsidTr="00CE428A">
        <w:trPr>
          <w:trHeight w:val="900"/>
        </w:trPr>
        <w:tc>
          <w:tcPr>
            <w:tcW w:w="1375" w:type="pct"/>
            <w:tcBorders>
              <w:top w:val="nil"/>
              <w:left w:val="nil"/>
              <w:bottom w:val="single" w:sz="4" w:space="0" w:color="auto"/>
              <w:right w:val="nil"/>
            </w:tcBorders>
            <w:shd w:val="clear" w:color="auto" w:fill="auto"/>
            <w:vAlign w:val="bottom"/>
            <w:hideMark/>
          </w:tcPr>
          <w:p w14:paraId="3B54CB79" w14:textId="77777777" w:rsidR="000B68BF" w:rsidRPr="00EC690A" w:rsidRDefault="000B68BF" w:rsidP="000B68BF">
            <w:pPr>
              <w:jc w:val="center"/>
              <w:rPr>
                <w:color w:val="000000"/>
                <w:sz w:val="18"/>
                <w:szCs w:val="18"/>
                <w:lang w:eastAsia="en-GB"/>
              </w:rPr>
            </w:pPr>
            <w:r w:rsidRPr="00EC690A">
              <w:rPr>
                <w:color w:val="000000"/>
                <w:sz w:val="18"/>
                <w:szCs w:val="18"/>
                <w:lang w:eastAsia="en-GB"/>
              </w:rPr>
              <w:t> </w:t>
            </w:r>
          </w:p>
        </w:tc>
        <w:tc>
          <w:tcPr>
            <w:tcW w:w="593" w:type="pct"/>
            <w:tcBorders>
              <w:top w:val="nil"/>
              <w:left w:val="nil"/>
              <w:bottom w:val="single" w:sz="4" w:space="0" w:color="auto"/>
              <w:right w:val="nil"/>
            </w:tcBorders>
            <w:shd w:val="clear" w:color="auto" w:fill="auto"/>
            <w:vAlign w:val="bottom"/>
            <w:hideMark/>
          </w:tcPr>
          <w:p w14:paraId="3F0EABA9"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Buildings</w:t>
            </w:r>
          </w:p>
        </w:tc>
        <w:tc>
          <w:tcPr>
            <w:tcW w:w="592" w:type="pct"/>
            <w:tcBorders>
              <w:top w:val="nil"/>
              <w:left w:val="nil"/>
              <w:bottom w:val="single" w:sz="4" w:space="0" w:color="auto"/>
              <w:right w:val="nil"/>
            </w:tcBorders>
            <w:shd w:val="clear" w:color="auto" w:fill="auto"/>
            <w:vAlign w:val="bottom"/>
            <w:hideMark/>
          </w:tcPr>
          <w:p w14:paraId="30DC4FE8"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Furniture &amp;fixtures</w:t>
            </w:r>
          </w:p>
        </w:tc>
        <w:tc>
          <w:tcPr>
            <w:tcW w:w="724" w:type="pct"/>
            <w:tcBorders>
              <w:top w:val="nil"/>
              <w:left w:val="nil"/>
              <w:bottom w:val="single" w:sz="4" w:space="0" w:color="auto"/>
              <w:right w:val="nil"/>
            </w:tcBorders>
            <w:shd w:val="clear" w:color="auto" w:fill="auto"/>
            <w:vAlign w:val="bottom"/>
            <w:hideMark/>
          </w:tcPr>
          <w:p w14:paraId="0EF24523"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Computers &amp; equipment</w:t>
            </w:r>
          </w:p>
        </w:tc>
        <w:tc>
          <w:tcPr>
            <w:tcW w:w="592" w:type="pct"/>
            <w:tcBorders>
              <w:top w:val="nil"/>
              <w:left w:val="nil"/>
              <w:bottom w:val="single" w:sz="4" w:space="0" w:color="auto"/>
              <w:right w:val="nil"/>
            </w:tcBorders>
            <w:shd w:val="clear" w:color="auto" w:fill="auto"/>
            <w:vAlign w:val="bottom"/>
            <w:hideMark/>
          </w:tcPr>
          <w:p w14:paraId="7F52F89F"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Vehicles</w:t>
            </w:r>
          </w:p>
        </w:tc>
        <w:tc>
          <w:tcPr>
            <w:tcW w:w="532" w:type="pct"/>
            <w:tcBorders>
              <w:top w:val="nil"/>
              <w:left w:val="nil"/>
              <w:bottom w:val="single" w:sz="4" w:space="0" w:color="auto"/>
              <w:right w:val="nil"/>
            </w:tcBorders>
            <w:shd w:val="clear" w:color="auto" w:fill="auto"/>
            <w:vAlign w:val="bottom"/>
            <w:hideMark/>
          </w:tcPr>
          <w:p w14:paraId="2D18F2B6"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Other</w:t>
            </w:r>
          </w:p>
        </w:tc>
        <w:tc>
          <w:tcPr>
            <w:tcW w:w="592" w:type="pct"/>
            <w:tcBorders>
              <w:top w:val="nil"/>
              <w:left w:val="nil"/>
              <w:bottom w:val="single" w:sz="4" w:space="0" w:color="auto"/>
              <w:right w:val="nil"/>
            </w:tcBorders>
            <w:shd w:val="clear" w:color="auto" w:fill="auto"/>
            <w:vAlign w:val="bottom"/>
            <w:hideMark/>
          </w:tcPr>
          <w:p w14:paraId="3123E8D7" w14:textId="77777777" w:rsidR="000B68BF" w:rsidRPr="00EC690A" w:rsidRDefault="000B68BF" w:rsidP="000B68BF">
            <w:pPr>
              <w:jc w:val="right"/>
              <w:rPr>
                <w:b/>
                <w:bCs/>
                <w:color w:val="000000"/>
                <w:sz w:val="18"/>
                <w:szCs w:val="18"/>
                <w:lang w:eastAsia="en-GB"/>
              </w:rPr>
            </w:pPr>
            <w:r w:rsidRPr="00EC690A">
              <w:rPr>
                <w:b/>
                <w:bCs/>
                <w:color w:val="000000"/>
                <w:sz w:val="18"/>
                <w:szCs w:val="18"/>
                <w:lang w:eastAsia="en-GB"/>
              </w:rPr>
              <w:t>Total</w:t>
            </w:r>
          </w:p>
        </w:tc>
      </w:tr>
      <w:tr w:rsidR="000B68BF" w:rsidRPr="00EC690A" w14:paraId="2555C6BF" w14:textId="77777777" w:rsidTr="00CE428A">
        <w:trPr>
          <w:trHeight w:val="300"/>
        </w:trPr>
        <w:tc>
          <w:tcPr>
            <w:tcW w:w="1375" w:type="pct"/>
            <w:tcBorders>
              <w:top w:val="nil"/>
              <w:left w:val="nil"/>
              <w:bottom w:val="nil"/>
              <w:right w:val="nil"/>
            </w:tcBorders>
            <w:shd w:val="clear" w:color="auto" w:fill="auto"/>
            <w:noWrap/>
            <w:vAlign w:val="bottom"/>
            <w:hideMark/>
          </w:tcPr>
          <w:p w14:paraId="57B26B90" w14:textId="77777777" w:rsidR="000B68BF" w:rsidRPr="00EC690A" w:rsidRDefault="000B68BF" w:rsidP="000B68BF">
            <w:pPr>
              <w:rPr>
                <w:color w:val="000000"/>
                <w:sz w:val="18"/>
                <w:szCs w:val="18"/>
                <w:lang w:eastAsia="en-GB"/>
              </w:rPr>
            </w:pPr>
          </w:p>
        </w:tc>
        <w:tc>
          <w:tcPr>
            <w:tcW w:w="593" w:type="pct"/>
            <w:tcBorders>
              <w:top w:val="nil"/>
              <w:left w:val="nil"/>
              <w:bottom w:val="nil"/>
              <w:right w:val="nil"/>
            </w:tcBorders>
            <w:shd w:val="clear" w:color="auto" w:fill="auto"/>
            <w:noWrap/>
            <w:vAlign w:val="bottom"/>
            <w:hideMark/>
          </w:tcPr>
          <w:p w14:paraId="72D55BC2"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hideMark/>
          </w:tcPr>
          <w:p w14:paraId="7E2E299E" w14:textId="77777777" w:rsidR="000B68BF" w:rsidRPr="00EC690A" w:rsidRDefault="000B68BF" w:rsidP="000B68BF">
            <w:pPr>
              <w:rPr>
                <w:color w:val="000000"/>
                <w:sz w:val="18"/>
                <w:szCs w:val="18"/>
                <w:lang w:eastAsia="en-GB"/>
              </w:rPr>
            </w:pPr>
          </w:p>
        </w:tc>
        <w:tc>
          <w:tcPr>
            <w:tcW w:w="724" w:type="pct"/>
            <w:tcBorders>
              <w:top w:val="nil"/>
              <w:left w:val="nil"/>
              <w:bottom w:val="nil"/>
              <w:right w:val="nil"/>
            </w:tcBorders>
            <w:shd w:val="clear" w:color="auto" w:fill="auto"/>
            <w:noWrap/>
            <w:vAlign w:val="bottom"/>
            <w:hideMark/>
          </w:tcPr>
          <w:p w14:paraId="4BFF9440"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hideMark/>
          </w:tcPr>
          <w:p w14:paraId="26E72CD9" w14:textId="77777777" w:rsidR="000B68BF" w:rsidRPr="00EC690A" w:rsidRDefault="000B68BF" w:rsidP="000B68BF">
            <w:pPr>
              <w:rPr>
                <w:color w:val="000000"/>
                <w:sz w:val="18"/>
                <w:szCs w:val="18"/>
                <w:lang w:eastAsia="en-GB"/>
              </w:rPr>
            </w:pPr>
          </w:p>
        </w:tc>
        <w:tc>
          <w:tcPr>
            <w:tcW w:w="532" w:type="pct"/>
            <w:tcBorders>
              <w:top w:val="nil"/>
              <w:left w:val="nil"/>
              <w:bottom w:val="nil"/>
              <w:right w:val="nil"/>
            </w:tcBorders>
            <w:shd w:val="clear" w:color="auto" w:fill="auto"/>
            <w:noWrap/>
            <w:vAlign w:val="bottom"/>
            <w:hideMark/>
          </w:tcPr>
          <w:p w14:paraId="0DB05342"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hideMark/>
          </w:tcPr>
          <w:p w14:paraId="4076B6F6" w14:textId="77777777" w:rsidR="000B68BF" w:rsidRPr="00EC690A" w:rsidRDefault="000B68BF" w:rsidP="000B68BF">
            <w:pPr>
              <w:rPr>
                <w:b/>
                <w:bCs/>
                <w:color w:val="000000"/>
                <w:sz w:val="18"/>
                <w:szCs w:val="18"/>
                <w:lang w:eastAsia="en-GB"/>
              </w:rPr>
            </w:pPr>
          </w:p>
        </w:tc>
      </w:tr>
      <w:tr w:rsidR="000B68BF" w:rsidRPr="00EC690A" w14:paraId="07EF2B26" w14:textId="77777777" w:rsidTr="00CE428A">
        <w:trPr>
          <w:trHeight w:val="300"/>
        </w:trPr>
        <w:tc>
          <w:tcPr>
            <w:tcW w:w="1375" w:type="pct"/>
            <w:tcBorders>
              <w:top w:val="nil"/>
              <w:left w:val="nil"/>
              <w:bottom w:val="nil"/>
              <w:right w:val="nil"/>
            </w:tcBorders>
            <w:shd w:val="clear" w:color="auto" w:fill="auto"/>
            <w:noWrap/>
            <w:vAlign w:val="bottom"/>
            <w:hideMark/>
          </w:tcPr>
          <w:p w14:paraId="66B65CE2" w14:textId="77777777" w:rsidR="000B68BF" w:rsidRPr="00EC690A" w:rsidRDefault="000B68BF" w:rsidP="000B68BF">
            <w:pPr>
              <w:rPr>
                <w:b/>
                <w:bCs/>
                <w:color w:val="000000"/>
                <w:sz w:val="18"/>
                <w:szCs w:val="18"/>
                <w:lang w:eastAsia="en-GB"/>
              </w:rPr>
            </w:pPr>
            <w:r w:rsidRPr="00EC690A">
              <w:rPr>
                <w:b/>
                <w:bCs/>
                <w:color w:val="000000"/>
                <w:sz w:val="18"/>
                <w:szCs w:val="18"/>
                <w:lang w:eastAsia="en-GB"/>
              </w:rPr>
              <w:t>Book value</w:t>
            </w:r>
          </w:p>
        </w:tc>
        <w:tc>
          <w:tcPr>
            <w:tcW w:w="593" w:type="pct"/>
            <w:tcBorders>
              <w:top w:val="nil"/>
              <w:left w:val="nil"/>
              <w:bottom w:val="nil"/>
              <w:right w:val="nil"/>
            </w:tcBorders>
            <w:shd w:val="clear" w:color="auto" w:fill="auto"/>
            <w:noWrap/>
            <w:vAlign w:val="bottom"/>
            <w:hideMark/>
          </w:tcPr>
          <w:p w14:paraId="7D163F96"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hideMark/>
          </w:tcPr>
          <w:p w14:paraId="59925680" w14:textId="77777777" w:rsidR="000B68BF" w:rsidRPr="00EC690A" w:rsidRDefault="000B68BF" w:rsidP="000B68BF">
            <w:pPr>
              <w:rPr>
                <w:color w:val="000000"/>
                <w:sz w:val="18"/>
                <w:szCs w:val="18"/>
                <w:lang w:eastAsia="en-GB"/>
              </w:rPr>
            </w:pPr>
          </w:p>
        </w:tc>
        <w:tc>
          <w:tcPr>
            <w:tcW w:w="724" w:type="pct"/>
            <w:tcBorders>
              <w:top w:val="nil"/>
              <w:left w:val="nil"/>
              <w:bottom w:val="nil"/>
              <w:right w:val="nil"/>
            </w:tcBorders>
            <w:shd w:val="clear" w:color="auto" w:fill="auto"/>
            <w:noWrap/>
            <w:vAlign w:val="bottom"/>
            <w:hideMark/>
          </w:tcPr>
          <w:p w14:paraId="5E0D53D3"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hideMark/>
          </w:tcPr>
          <w:p w14:paraId="4055B200" w14:textId="77777777" w:rsidR="000B68BF" w:rsidRPr="00EC690A" w:rsidRDefault="000B68BF" w:rsidP="000B68BF">
            <w:pPr>
              <w:rPr>
                <w:color w:val="000000"/>
                <w:sz w:val="18"/>
                <w:szCs w:val="18"/>
                <w:lang w:eastAsia="en-GB"/>
              </w:rPr>
            </w:pPr>
          </w:p>
        </w:tc>
        <w:tc>
          <w:tcPr>
            <w:tcW w:w="532" w:type="pct"/>
            <w:tcBorders>
              <w:top w:val="nil"/>
              <w:left w:val="nil"/>
              <w:bottom w:val="nil"/>
              <w:right w:val="nil"/>
            </w:tcBorders>
            <w:shd w:val="clear" w:color="auto" w:fill="auto"/>
            <w:noWrap/>
            <w:vAlign w:val="bottom"/>
            <w:hideMark/>
          </w:tcPr>
          <w:p w14:paraId="329A7681"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hideMark/>
          </w:tcPr>
          <w:p w14:paraId="6AC0F7CC" w14:textId="77777777" w:rsidR="000B68BF" w:rsidRPr="00EC690A" w:rsidRDefault="000B68BF" w:rsidP="000B68BF">
            <w:pPr>
              <w:rPr>
                <w:color w:val="000000"/>
                <w:sz w:val="18"/>
                <w:szCs w:val="18"/>
                <w:lang w:eastAsia="en-GB"/>
              </w:rPr>
            </w:pPr>
          </w:p>
        </w:tc>
      </w:tr>
      <w:tr w:rsidR="000B68BF" w:rsidRPr="00EC690A" w14:paraId="4882D2D5" w14:textId="77777777" w:rsidTr="00CE428A">
        <w:trPr>
          <w:trHeight w:val="300"/>
        </w:trPr>
        <w:tc>
          <w:tcPr>
            <w:tcW w:w="1375" w:type="pct"/>
            <w:tcBorders>
              <w:top w:val="nil"/>
              <w:left w:val="nil"/>
              <w:bottom w:val="nil"/>
              <w:right w:val="nil"/>
            </w:tcBorders>
            <w:shd w:val="clear" w:color="auto" w:fill="auto"/>
            <w:noWrap/>
            <w:vAlign w:val="bottom"/>
            <w:hideMark/>
          </w:tcPr>
          <w:p w14:paraId="7D5702B4" w14:textId="3C882BD5" w:rsidR="000B68BF" w:rsidRPr="00EC690A" w:rsidRDefault="000B68BF" w:rsidP="000B68BF">
            <w:pPr>
              <w:rPr>
                <w:color w:val="000000"/>
                <w:sz w:val="18"/>
                <w:szCs w:val="18"/>
                <w:lang w:eastAsia="en-GB"/>
              </w:rPr>
            </w:pPr>
            <w:r w:rsidRPr="00EC690A">
              <w:rPr>
                <w:color w:val="000000"/>
                <w:sz w:val="18"/>
                <w:szCs w:val="18"/>
                <w:lang w:eastAsia="en-GB"/>
              </w:rPr>
              <w:t>31 December 201</w:t>
            </w:r>
            <w:r w:rsidR="003B733B">
              <w:rPr>
                <w:color w:val="000000"/>
                <w:sz w:val="18"/>
                <w:szCs w:val="18"/>
                <w:lang w:eastAsia="en-GB"/>
              </w:rPr>
              <w:t>7</w:t>
            </w:r>
          </w:p>
        </w:tc>
        <w:tc>
          <w:tcPr>
            <w:tcW w:w="593" w:type="pct"/>
            <w:tcBorders>
              <w:top w:val="nil"/>
              <w:left w:val="nil"/>
              <w:bottom w:val="nil"/>
              <w:right w:val="nil"/>
            </w:tcBorders>
            <w:shd w:val="clear" w:color="auto" w:fill="auto"/>
            <w:noWrap/>
            <w:vAlign w:val="bottom"/>
          </w:tcPr>
          <w:p w14:paraId="0E0FB28C" w14:textId="77777777" w:rsidR="000B68BF" w:rsidRPr="00EC690A" w:rsidRDefault="000B68BF" w:rsidP="000B68BF">
            <w:pPr>
              <w:jc w:val="right"/>
              <w:rPr>
                <w:color w:val="000000"/>
                <w:sz w:val="18"/>
                <w:szCs w:val="18"/>
                <w:lang w:eastAsia="en-GB"/>
              </w:rPr>
            </w:pPr>
            <w:r>
              <w:rPr>
                <w:color w:val="000000"/>
                <w:sz w:val="18"/>
                <w:szCs w:val="18"/>
                <w:lang w:eastAsia="en-GB"/>
              </w:rPr>
              <w:t>346,850</w:t>
            </w:r>
          </w:p>
        </w:tc>
        <w:tc>
          <w:tcPr>
            <w:tcW w:w="592" w:type="pct"/>
            <w:tcBorders>
              <w:top w:val="nil"/>
              <w:left w:val="nil"/>
              <w:bottom w:val="nil"/>
              <w:right w:val="nil"/>
            </w:tcBorders>
            <w:shd w:val="clear" w:color="auto" w:fill="auto"/>
            <w:noWrap/>
            <w:vAlign w:val="bottom"/>
          </w:tcPr>
          <w:p w14:paraId="0B4161C8" w14:textId="0AD48113" w:rsidR="000B68BF" w:rsidRPr="00EC690A" w:rsidRDefault="000B68BF" w:rsidP="000B68BF">
            <w:pPr>
              <w:jc w:val="right"/>
              <w:rPr>
                <w:color w:val="000000"/>
                <w:sz w:val="18"/>
                <w:szCs w:val="18"/>
                <w:lang w:eastAsia="en-GB"/>
              </w:rPr>
            </w:pPr>
            <w:r>
              <w:rPr>
                <w:color w:val="000000"/>
                <w:sz w:val="18"/>
                <w:szCs w:val="18"/>
                <w:lang w:eastAsia="en-GB"/>
              </w:rPr>
              <w:t>14</w:t>
            </w:r>
            <w:r w:rsidR="00AE1E1C">
              <w:rPr>
                <w:color w:val="000000"/>
                <w:sz w:val="18"/>
                <w:szCs w:val="18"/>
                <w:lang w:eastAsia="en-GB"/>
              </w:rPr>
              <w:t>8</w:t>
            </w:r>
            <w:r>
              <w:rPr>
                <w:color w:val="000000"/>
                <w:sz w:val="18"/>
                <w:szCs w:val="18"/>
                <w:lang w:eastAsia="en-GB"/>
              </w:rPr>
              <w:t>,</w:t>
            </w:r>
            <w:r w:rsidR="00AE1E1C">
              <w:rPr>
                <w:color w:val="000000"/>
                <w:sz w:val="18"/>
                <w:szCs w:val="18"/>
                <w:lang w:eastAsia="en-GB"/>
              </w:rPr>
              <w:t>185</w:t>
            </w:r>
          </w:p>
        </w:tc>
        <w:tc>
          <w:tcPr>
            <w:tcW w:w="724" w:type="pct"/>
            <w:tcBorders>
              <w:top w:val="nil"/>
              <w:left w:val="nil"/>
              <w:bottom w:val="nil"/>
              <w:right w:val="nil"/>
            </w:tcBorders>
            <w:shd w:val="clear" w:color="auto" w:fill="auto"/>
            <w:noWrap/>
            <w:vAlign w:val="bottom"/>
          </w:tcPr>
          <w:p w14:paraId="6650DC9E" w14:textId="4B78846D" w:rsidR="000B68BF" w:rsidRPr="00EC690A" w:rsidRDefault="00AE1E1C" w:rsidP="000B68BF">
            <w:pPr>
              <w:jc w:val="right"/>
              <w:rPr>
                <w:color w:val="000000"/>
                <w:sz w:val="18"/>
                <w:szCs w:val="18"/>
                <w:lang w:eastAsia="en-GB"/>
              </w:rPr>
            </w:pPr>
            <w:r>
              <w:rPr>
                <w:color w:val="000000"/>
                <w:sz w:val="18"/>
                <w:szCs w:val="18"/>
                <w:lang w:eastAsia="en-GB"/>
              </w:rPr>
              <w:t>105,914</w:t>
            </w:r>
          </w:p>
        </w:tc>
        <w:tc>
          <w:tcPr>
            <w:tcW w:w="592" w:type="pct"/>
            <w:tcBorders>
              <w:top w:val="nil"/>
              <w:left w:val="nil"/>
              <w:bottom w:val="nil"/>
              <w:right w:val="nil"/>
            </w:tcBorders>
            <w:shd w:val="clear" w:color="auto" w:fill="auto"/>
            <w:noWrap/>
            <w:vAlign w:val="bottom"/>
          </w:tcPr>
          <w:p w14:paraId="472C849F" w14:textId="77777777" w:rsidR="000B68BF" w:rsidRPr="00EC690A" w:rsidRDefault="000B68BF" w:rsidP="000B68BF">
            <w:pPr>
              <w:jc w:val="right"/>
              <w:rPr>
                <w:color w:val="000000"/>
                <w:sz w:val="18"/>
                <w:szCs w:val="18"/>
                <w:lang w:eastAsia="en-GB"/>
              </w:rPr>
            </w:pPr>
            <w:r>
              <w:rPr>
                <w:color w:val="000000"/>
                <w:sz w:val="18"/>
                <w:szCs w:val="18"/>
                <w:lang w:eastAsia="en-GB"/>
              </w:rPr>
              <w:t>224,411</w:t>
            </w:r>
          </w:p>
        </w:tc>
        <w:tc>
          <w:tcPr>
            <w:tcW w:w="532" w:type="pct"/>
            <w:tcBorders>
              <w:top w:val="nil"/>
              <w:left w:val="nil"/>
              <w:bottom w:val="nil"/>
              <w:right w:val="nil"/>
            </w:tcBorders>
            <w:shd w:val="clear" w:color="auto" w:fill="auto"/>
            <w:noWrap/>
            <w:vAlign w:val="bottom"/>
          </w:tcPr>
          <w:p w14:paraId="11E89ED5" w14:textId="77777777" w:rsidR="000B68BF" w:rsidRPr="00EC690A" w:rsidRDefault="000B68BF" w:rsidP="000B68BF">
            <w:pPr>
              <w:jc w:val="right"/>
              <w:rPr>
                <w:color w:val="000000"/>
                <w:sz w:val="18"/>
                <w:szCs w:val="18"/>
                <w:lang w:eastAsia="en-GB"/>
              </w:rPr>
            </w:pPr>
            <w:r>
              <w:rPr>
                <w:color w:val="000000"/>
                <w:sz w:val="18"/>
                <w:szCs w:val="18"/>
                <w:lang w:eastAsia="en-GB"/>
              </w:rPr>
              <w:t>12,697</w:t>
            </w:r>
          </w:p>
        </w:tc>
        <w:tc>
          <w:tcPr>
            <w:tcW w:w="592" w:type="pct"/>
            <w:tcBorders>
              <w:top w:val="nil"/>
              <w:left w:val="nil"/>
              <w:bottom w:val="nil"/>
              <w:right w:val="nil"/>
            </w:tcBorders>
            <w:shd w:val="clear" w:color="auto" w:fill="auto"/>
            <w:noWrap/>
            <w:vAlign w:val="bottom"/>
          </w:tcPr>
          <w:p w14:paraId="24220767" w14:textId="77777777" w:rsidR="000B68BF" w:rsidRPr="00EC690A" w:rsidRDefault="000B68BF" w:rsidP="000B68BF">
            <w:pPr>
              <w:jc w:val="right"/>
              <w:rPr>
                <w:b/>
                <w:bCs/>
                <w:color w:val="000000"/>
                <w:sz w:val="18"/>
                <w:szCs w:val="18"/>
                <w:lang w:eastAsia="en-GB"/>
              </w:rPr>
            </w:pPr>
            <w:r>
              <w:rPr>
                <w:b/>
                <w:bCs/>
                <w:color w:val="000000"/>
                <w:sz w:val="18"/>
                <w:szCs w:val="18"/>
                <w:lang w:eastAsia="en-GB"/>
              </w:rPr>
              <w:t>839,541</w:t>
            </w:r>
          </w:p>
        </w:tc>
      </w:tr>
      <w:tr w:rsidR="000B68BF" w:rsidRPr="00EC690A" w14:paraId="6576E3C5" w14:textId="77777777" w:rsidTr="00CE428A">
        <w:trPr>
          <w:trHeight w:val="300"/>
        </w:trPr>
        <w:tc>
          <w:tcPr>
            <w:tcW w:w="1375" w:type="pct"/>
            <w:tcBorders>
              <w:top w:val="nil"/>
              <w:left w:val="nil"/>
              <w:bottom w:val="nil"/>
              <w:right w:val="nil"/>
            </w:tcBorders>
            <w:shd w:val="clear" w:color="auto" w:fill="auto"/>
            <w:noWrap/>
            <w:vAlign w:val="bottom"/>
            <w:hideMark/>
          </w:tcPr>
          <w:p w14:paraId="5DDF1C1B" w14:textId="77777777" w:rsidR="000B68BF" w:rsidRPr="00EC690A" w:rsidRDefault="000B68BF" w:rsidP="000B68BF">
            <w:pPr>
              <w:rPr>
                <w:color w:val="000000"/>
                <w:sz w:val="18"/>
                <w:szCs w:val="18"/>
                <w:lang w:eastAsia="en-GB"/>
              </w:rPr>
            </w:pPr>
            <w:r w:rsidRPr="00EC690A">
              <w:rPr>
                <w:color w:val="000000"/>
                <w:sz w:val="18"/>
                <w:szCs w:val="18"/>
                <w:lang w:eastAsia="en-GB"/>
              </w:rPr>
              <w:t>Additions</w:t>
            </w:r>
          </w:p>
        </w:tc>
        <w:tc>
          <w:tcPr>
            <w:tcW w:w="593" w:type="pct"/>
            <w:tcBorders>
              <w:top w:val="nil"/>
              <w:left w:val="nil"/>
              <w:bottom w:val="nil"/>
              <w:right w:val="nil"/>
            </w:tcBorders>
            <w:shd w:val="clear" w:color="auto" w:fill="auto"/>
            <w:noWrap/>
            <w:vAlign w:val="bottom"/>
          </w:tcPr>
          <w:p w14:paraId="534612C5" w14:textId="390A223C" w:rsidR="000B68BF" w:rsidRPr="00EC690A" w:rsidRDefault="00397980" w:rsidP="000B68BF">
            <w:pPr>
              <w:jc w:val="right"/>
              <w:rPr>
                <w:color w:val="000000"/>
                <w:sz w:val="18"/>
                <w:szCs w:val="18"/>
                <w:lang w:eastAsia="en-GB"/>
              </w:rPr>
            </w:pP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424AFD09" w14:textId="15685DD8" w:rsidR="000B68BF" w:rsidRPr="00EC690A" w:rsidRDefault="00AE1E1C" w:rsidP="000B68BF">
            <w:pPr>
              <w:jc w:val="right"/>
              <w:rPr>
                <w:color w:val="000000"/>
                <w:sz w:val="18"/>
                <w:szCs w:val="18"/>
                <w:lang w:eastAsia="en-GB"/>
              </w:rPr>
            </w:pPr>
            <w:r>
              <w:rPr>
                <w:color w:val="000000"/>
                <w:sz w:val="18"/>
                <w:szCs w:val="18"/>
                <w:lang w:eastAsia="en-GB"/>
              </w:rPr>
              <w:t>-</w:t>
            </w:r>
          </w:p>
        </w:tc>
        <w:tc>
          <w:tcPr>
            <w:tcW w:w="724" w:type="pct"/>
            <w:tcBorders>
              <w:top w:val="nil"/>
              <w:left w:val="nil"/>
              <w:bottom w:val="nil"/>
              <w:right w:val="nil"/>
            </w:tcBorders>
            <w:shd w:val="clear" w:color="auto" w:fill="auto"/>
            <w:noWrap/>
            <w:vAlign w:val="bottom"/>
          </w:tcPr>
          <w:p w14:paraId="51DA2A92" w14:textId="0CDC2300" w:rsidR="000B68BF" w:rsidRPr="00EC690A" w:rsidRDefault="00AE1E1C" w:rsidP="000B68BF">
            <w:pPr>
              <w:jc w:val="right"/>
              <w:rPr>
                <w:color w:val="000000"/>
                <w:sz w:val="18"/>
                <w:szCs w:val="18"/>
                <w:lang w:eastAsia="en-GB"/>
              </w:rPr>
            </w:pPr>
            <w:r>
              <w:rPr>
                <w:color w:val="000000"/>
                <w:sz w:val="18"/>
                <w:szCs w:val="18"/>
                <w:lang w:eastAsia="en-GB"/>
              </w:rPr>
              <w:t>12,591</w:t>
            </w:r>
          </w:p>
        </w:tc>
        <w:tc>
          <w:tcPr>
            <w:tcW w:w="592" w:type="pct"/>
            <w:tcBorders>
              <w:top w:val="nil"/>
              <w:left w:val="nil"/>
              <w:bottom w:val="nil"/>
              <w:right w:val="nil"/>
            </w:tcBorders>
            <w:shd w:val="clear" w:color="auto" w:fill="auto"/>
            <w:noWrap/>
            <w:vAlign w:val="bottom"/>
          </w:tcPr>
          <w:p w14:paraId="399FF6E2" w14:textId="5B2AD162" w:rsidR="000B68BF" w:rsidRPr="00EC690A" w:rsidRDefault="00AE1E1C" w:rsidP="000B68BF">
            <w:pPr>
              <w:jc w:val="right"/>
              <w:rPr>
                <w:color w:val="000000"/>
                <w:sz w:val="18"/>
                <w:szCs w:val="18"/>
                <w:lang w:eastAsia="en-GB"/>
              </w:rPr>
            </w:pPr>
            <w:r>
              <w:rPr>
                <w:color w:val="000000"/>
                <w:sz w:val="18"/>
                <w:szCs w:val="18"/>
                <w:lang w:eastAsia="en-GB"/>
              </w:rPr>
              <w:t>-</w:t>
            </w:r>
          </w:p>
        </w:tc>
        <w:tc>
          <w:tcPr>
            <w:tcW w:w="532" w:type="pct"/>
            <w:tcBorders>
              <w:top w:val="nil"/>
              <w:left w:val="nil"/>
              <w:bottom w:val="nil"/>
              <w:right w:val="nil"/>
            </w:tcBorders>
            <w:shd w:val="clear" w:color="auto" w:fill="auto"/>
            <w:noWrap/>
            <w:vAlign w:val="bottom"/>
          </w:tcPr>
          <w:p w14:paraId="48CF1FC2" w14:textId="327C13A4" w:rsidR="000B68BF" w:rsidRPr="00EC690A" w:rsidRDefault="00AE1E1C" w:rsidP="000B68BF">
            <w:pPr>
              <w:jc w:val="right"/>
              <w:rPr>
                <w:color w:val="000000"/>
                <w:sz w:val="18"/>
                <w:szCs w:val="18"/>
                <w:lang w:eastAsia="en-GB"/>
              </w:rPr>
            </w:pP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4D021F48" w14:textId="55A26B13" w:rsidR="000B68BF" w:rsidRPr="00EC690A" w:rsidRDefault="00AE1E1C" w:rsidP="000B68BF">
            <w:pPr>
              <w:jc w:val="right"/>
              <w:rPr>
                <w:b/>
                <w:bCs/>
                <w:color w:val="000000"/>
                <w:sz w:val="18"/>
                <w:szCs w:val="18"/>
                <w:lang w:eastAsia="en-GB"/>
              </w:rPr>
            </w:pPr>
            <w:r>
              <w:rPr>
                <w:b/>
                <w:bCs/>
                <w:color w:val="000000"/>
                <w:sz w:val="18"/>
                <w:szCs w:val="18"/>
                <w:lang w:eastAsia="en-GB"/>
              </w:rPr>
              <w:t>12,591</w:t>
            </w:r>
          </w:p>
        </w:tc>
      </w:tr>
      <w:tr w:rsidR="000B68BF" w:rsidRPr="00EC690A" w14:paraId="4BDB6E63" w14:textId="77777777" w:rsidTr="00CE428A">
        <w:trPr>
          <w:trHeight w:val="300"/>
        </w:trPr>
        <w:tc>
          <w:tcPr>
            <w:tcW w:w="1375" w:type="pct"/>
            <w:tcBorders>
              <w:top w:val="nil"/>
              <w:left w:val="nil"/>
              <w:bottom w:val="nil"/>
              <w:right w:val="nil"/>
            </w:tcBorders>
            <w:shd w:val="clear" w:color="auto" w:fill="auto"/>
            <w:noWrap/>
            <w:vAlign w:val="bottom"/>
            <w:hideMark/>
          </w:tcPr>
          <w:p w14:paraId="1D0CFBDF" w14:textId="77777777" w:rsidR="000B68BF" w:rsidRPr="00EC690A" w:rsidRDefault="000B68BF" w:rsidP="000B68BF">
            <w:pPr>
              <w:rPr>
                <w:color w:val="000000"/>
                <w:sz w:val="18"/>
                <w:szCs w:val="18"/>
                <w:lang w:eastAsia="en-GB"/>
              </w:rPr>
            </w:pPr>
            <w:r w:rsidRPr="00EC690A">
              <w:rPr>
                <w:color w:val="000000"/>
                <w:sz w:val="18"/>
                <w:szCs w:val="18"/>
                <w:lang w:eastAsia="en-GB"/>
              </w:rPr>
              <w:t>Disposals</w:t>
            </w:r>
          </w:p>
        </w:tc>
        <w:tc>
          <w:tcPr>
            <w:tcW w:w="593" w:type="pct"/>
            <w:tcBorders>
              <w:top w:val="nil"/>
              <w:left w:val="nil"/>
              <w:bottom w:val="nil"/>
              <w:right w:val="nil"/>
            </w:tcBorders>
            <w:shd w:val="clear" w:color="auto" w:fill="auto"/>
            <w:noWrap/>
            <w:vAlign w:val="bottom"/>
          </w:tcPr>
          <w:p w14:paraId="162764CB" w14:textId="54D028B8" w:rsidR="000B68BF" w:rsidRPr="00EC690A" w:rsidRDefault="00397980" w:rsidP="000B68BF">
            <w:pPr>
              <w:jc w:val="right"/>
              <w:rPr>
                <w:color w:val="000000"/>
                <w:sz w:val="18"/>
                <w:szCs w:val="18"/>
                <w:lang w:eastAsia="en-GB"/>
              </w:rPr>
            </w:pP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00527DDE" w14:textId="0FD28038" w:rsidR="000B68BF" w:rsidRPr="00EC690A" w:rsidRDefault="00AE1E1C" w:rsidP="000B68BF">
            <w:pPr>
              <w:jc w:val="right"/>
              <w:rPr>
                <w:color w:val="000000"/>
                <w:sz w:val="18"/>
                <w:szCs w:val="18"/>
                <w:lang w:eastAsia="en-GB"/>
              </w:rPr>
            </w:pPr>
            <w:r>
              <w:rPr>
                <w:color w:val="000000"/>
                <w:sz w:val="18"/>
                <w:szCs w:val="18"/>
                <w:lang w:eastAsia="en-GB"/>
              </w:rPr>
              <w:t>(425)</w:t>
            </w:r>
          </w:p>
        </w:tc>
        <w:tc>
          <w:tcPr>
            <w:tcW w:w="724" w:type="pct"/>
            <w:tcBorders>
              <w:top w:val="nil"/>
              <w:left w:val="nil"/>
              <w:bottom w:val="nil"/>
              <w:right w:val="nil"/>
            </w:tcBorders>
            <w:shd w:val="clear" w:color="auto" w:fill="auto"/>
            <w:noWrap/>
            <w:vAlign w:val="bottom"/>
          </w:tcPr>
          <w:p w14:paraId="77B35103" w14:textId="07B3BB8F" w:rsidR="000B68BF" w:rsidRPr="00EC690A" w:rsidRDefault="00AE1E1C" w:rsidP="000B68BF">
            <w:pPr>
              <w:jc w:val="right"/>
              <w:rPr>
                <w:color w:val="000000"/>
                <w:sz w:val="18"/>
                <w:szCs w:val="18"/>
                <w:lang w:eastAsia="en-GB"/>
              </w:rPr>
            </w:pPr>
            <w:r>
              <w:rPr>
                <w:color w:val="000000"/>
                <w:sz w:val="18"/>
                <w:szCs w:val="18"/>
                <w:lang w:eastAsia="en-GB"/>
              </w:rPr>
              <w:t>(10,682)</w:t>
            </w:r>
          </w:p>
        </w:tc>
        <w:tc>
          <w:tcPr>
            <w:tcW w:w="592" w:type="pct"/>
            <w:tcBorders>
              <w:top w:val="nil"/>
              <w:left w:val="nil"/>
              <w:bottom w:val="nil"/>
              <w:right w:val="nil"/>
            </w:tcBorders>
            <w:shd w:val="clear" w:color="auto" w:fill="auto"/>
            <w:noWrap/>
            <w:vAlign w:val="bottom"/>
          </w:tcPr>
          <w:p w14:paraId="3537D61B" w14:textId="14AF9637" w:rsidR="000B68BF" w:rsidRPr="00EC690A" w:rsidRDefault="00AE1E1C" w:rsidP="000B68BF">
            <w:pPr>
              <w:jc w:val="right"/>
              <w:rPr>
                <w:color w:val="000000"/>
                <w:sz w:val="18"/>
                <w:szCs w:val="18"/>
                <w:lang w:eastAsia="en-GB"/>
              </w:rPr>
            </w:pPr>
            <w:r>
              <w:rPr>
                <w:color w:val="000000"/>
                <w:sz w:val="18"/>
                <w:szCs w:val="18"/>
                <w:lang w:eastAsia="en-GB"/>
              </w:rPr>
              <w:t>-</w:t>
            </w:r>
          </w:p>
        </w:tc>
        <w:tc>
          <w:tcPr>
            <w:tcW w:w="532" w:type="pct"/>
            <w:tcBorders>
              <w:top w:val="nil"/>
              <w:left w:val="nil"/>
              <w:bottom w:val="nil"/>
              <w:right w:val="nil"/>
            </w:tcBorders>
            <w:shd w:val="clear" w:color="auto" w:fill="auto"/>
            <w:noWrap/>
            <w:vAlign w:val="bottom"/>
          </w:tcPr>
          <w:p w14:paraId="3A1D8EF8" w14:textId="5D0A5551" w:rsidR="000B68BF" w:rsidRPr="00EC690A" w:rsidRDefault="00AE1E1C" w:rsidP="000B68BF">
            <w:pPr>
              <w:jc w:val="right"/>
              <w:rPr>
                <w:color w:val="000000"/>
                <w:sz w:val="18"/>
                <w:szCs w:val="18"/>
                <w:lang w:eastAsia="en-GB"/>
              </w:rPr>
            </w:pP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1B028CAC" w14:textId="6C4D0FEA" w:rsidR="000B68BF" w:rsidRPr="00EC690A" w:rsidRDefault="00AE1E1C" w:rsidP="000B68BF">
            <w:pPr>
              <w:jc w:val="right"/>
              <w:rPr>
                <w:b/>
                <w:bCs/>
                <w:color w:val="000000"/>
                <w:sz w:val="18"/>
                <w:szCs w:val="18"/>
                <w:lang w:eastAsia="en-GB"/>
              </w:rPr>
            </w:pPr>
            <w:r>
              <w:rPr>
                <w:b/>
                <w:bCs/>
                <w:color w:val="000000"/>
                <w:sz w:val="18"/>
                <w:szCs w:val="18"/>
                <w:lang w:eastAsia="en-GB"/>
              </w:rPr>
              <w:t>(11,107)</w:t>
            </w:r>
          </w:p>
        </w:tc>
      </w:tr>
      <w:tr w:rsidR="000B68BF" w:rsidRPr="00EC690A" w14:paraId="6656063A" w14:textId="77777777" w:rsidTr="00CE428A">
        <w:trPr>
          <w:trHeight w:val="300"/>
        </w:trPr>
        <w:tc>
          <w:tcPr>
            <w:tcW w:w="1375" w:type="pct"/>
            <w:tcBorders>
              <w:top w:val="single" w:sz="4" w:space="0" w:color="auto"/>
              <w:left w:val="nil"/>
              <w:bottom w:val="single" w:sz="4" w:space="0" w:color="auto"/>
              <w:right w:val="nil"/>
            </w:tcBorders>
            <w:shd w:val="clear" w:color="auto" w:fill="auto"/>
            <w:noWrap/>
            <w:vAlign w:val="bottom"/>
            <w:hideMark/>
          </w:tcPr>
          <w:p w14:paraId="3C26A5E1" w14:textId="24B3527D" w:rsidR="000B68BF" w:rsidRPr="00EC690A" w:rsidRDefault="000B68BF" w:rsidP="000B68BF">
            <w:pPr>
              <w:rPr>
                <w:b/>
                <w:bCs/>
                <w:color w:val="000000"/>
                <w:sz w:val="18"/>
                <w:szCs w:val="18"/>
                <w:lang w:eastAsia="en-GB"/>
              </w:rPr>
            </w:pPr>
            <w:r w:rsidRPr="00EC690A">
              <w:rPr>
                <w:b/>
                <w:bCs/>
                <w:color w:val="000000"/>
                <w:sz w:val="18"/>
                <w:szCs w:val="18"/>
                <w:lang w:eastAsia="en-GB"/>
              </w:rPr>
              <w:t>31 December 20</w:t>
            </w:r>
            <w:r w:rsidR="003B733B">
              <w:rPr>
                <w:b/>
                <w:bCs/>
                <w:color w:val="000000"/>
                <w:sz w:val="18"/>
                <w:szCs w:val="18"/>
                <w:lang w:eastAsia="en-GB"/>
              </w:rPr>
              <w:t>18</w:t>
            </w:r>
          </w:p>
        </w:tc>
        <w:tc>
          <w:tcPr>
            <w:tcW w:w="593" w:type="pct"/>
            <w:tcBorders>
              <w:top w:val="single" w:sz="4" w:space="0" w:color="auto"/>
              <w:left w:val="nil"/>
              <w:bottom w:val="single" w:sz="4" w:space="0" w:color="auto"/>
              <w:right w:val="nil"/>
            </w:tcBorders>
            <w:shd w:val="clear" w:color="auto" w:fill="auto"/>
            <w:noWrap/>
            <w:vAlign w:val="bottom"/>
          </w:tcPr>
          <w:p w14:paraId="31B68161" w14:textId="68AAD3E2" w:rsidR="000B68BF" w:rsidRPr="00EC690A" w:rsidRDefault="00397980" w:rsidP="000B68BF">
            <w:pPr>
              <w:jc w:val="right"/>
              <w:rPr>
                <w:b/>
                <w:bCs/>
                <w:color w:val="000000"/>
                <w:sz w:val="18"/>
                <w:szCs w:val="18"/>
                <w:lang w:eastAsia="en-GB"/>
              </w:rPr>
            </w:pPr>
            <w:r>
              <w:rPr>
                <w:b/>
                <w:bCs/>
                <w:color w:val="000000"/>
                <w:sz w:val="18"/>
                <w:szCs w:val="18"/>
                <w:lang w:eastAsia="en-GB"/>
              </w:rPr>
              <w:t>346</w:t>
            </w:r>
            <w:r w:rsidR="00026836">
              <w:rPr>
                <w:b/>
                <w:bCs/>
                <w:color w:val="000000"/>
                <w:sz w:val="18"/>
                <w:szCs w:val="18"/>
                <w:lang w:eastAsia="en-GB"/>
              </w:rPr>
              <w:t>,</w:t>
            </w:r>
            <w:r>
              <w:rPr>
                <w:b/>
                <w:bCs/>
                <w:color w:val="000000"/>
                <w:sz w:val="18"/>
                <w:szCs w:val="18"/>
                <w:lang w:eastAsia="en-GB"/>
              </w:rPr>
              <w:t>850</w:t>
            </w:r>
          </w:p>
        </w:tc>
        <w:tc>
          <w:tcPr>
            <w:tcW w:w="592" w:type="pct"/>
            <w:tcBorders>
              <w:top w:val="single" w:sz="4" w:space="0" w:color="auto"/>
              <w:left w:val="nil"/>
              <w:bottom w:val="single" w:sz="4" w:space="0" w:color="auto"/>
              <w:right w:val="nil"/>
            </w:tcBorders>
            <w:shd w:val="clear" w:color="auto" w:fill="auto"/>
            <w:noWrap/>
            <w:vAlign w:val="bottom"/>
          </w:tcPr>
          <w:p w14:paraId="418E3B82" w14:textId="3C2A6130" w:rsidR="000B68BF" w:rsidRPr="00EC690A" w:rsidRDefault="00AE1E1C" w:rsidP="000B68BF">
            <w:pPr>
              <w:jc w:val="right"/>
              <w:rPr>
                <w:b/>
                <w:bCs/>
                <w:color w:val="000000"/>
                <w:sz w:val="18"/>
                <w:szCs w:val="18"/>
                <w:lang w:eastAsia="en-GB"/>
              </w:rPr>
            </w:pPr>
            <w:r>
              <w:rPr>
                <w:b/>
                <w:bCs/>
                <w:color w:val="000000"/>
                <w:sz w:val="18"/>
                <w:szCs w:val="18"/>
                <w:lang w:eastAsia="en-GB"/>
              </w:rPr>
              <w:t>147,760</w:t>
            </w:r>
          </w:p>
        </w:tc>
        <w:tc>
          <w:tcPr>
            <w:tcW w:w="724" w:type="pct"/>
            <w:tcBorders>
              <w:top w:val="single" w:sz="4" w:space="0" w:color="auto"/>
              <w:left w:val="nil"/>
              <w:bottom w:val="single" w:sz="4" w:space="0" w:color="auto"/>
              <w:right w:val="nil"/>
            </w:tcBorders>
            <w:shd w:val="clear" w:color="auto" w:fill="auto"/>
            <w:noWrap/>
            <w:vAlign w:val="bottom"/>
          </w:tcPr>
          <w:p w14:paraId="088DB8D4" w14:textId="70B497A7" w:rsidR="000B68BF" w:rsidRPr="00EC690A" w:rsidRDefault="00AE1E1C" w:rsidP="000B68BF">
            <w:pPr>
              <w:jc w:val="right"/>
              <w:rPr>
                <w:b/>
                <w:bCs/>
                <w:color w:val="000000"/>
                <w:sz w:val="18"/>
                <w:szCs w:val="18"/>
                <w:lang w:eastAsia="en-GB"/>
              </w:rPr>
            </w:pPr>
            <w:r>
              <w:rPr>
                <w:b/>
                <w:bCs/>
                <w:color w:val="000000"/>
                <w:sz w:val="18"/>
                <w:szCs w:val="18"/>
                <w:lang w:eastAsia="en-GB"/>
              </w:rPr>
              <w:t>107,823</w:t>
            </w:r>
          </w:p>
        </w:tc>
        <w:tc>
          <w:tcPr>
            <w:tcW w:w="592" w:type="pct"/>
            <w:tcBorders>
              <w:top w:val="single" w:sz="4" w:space="0" w:color="auto"/>
              <w:left w:val="nil"/>
              <w:bottom w:val="single" w:sz="4" w:space="0" w:color="auto"/>
              <w:right w:val="nil"/>
            </w:tcBorders>
            <w:shd w:val="clear" w:color="auto" w:fill="auto"/>
            <w:noWrap/>
            <w:vAlign w:val="bottom"/>
          </w:tcPr>
          <w:p w14:paraId="3FF8653F" w14:textId="55582B25" w:rsidR="000B68BF" w:rsidRPr="00EC690A" w:rsidRDefault="00AE1E1C" w:rsidP="000B68BF">
            <w:pPr>
              <w:jc w:val="right"/>
              <w:rPr>
                <w:b/>
                <w:bCs/>
                <w:color w:val="000000"/>
                <w:sz w:val="18"/>
                <w:szCs w:val="18"/>
                <w:lang w:eastAsia="en-GB"/>
              </w:rPr>
            </w:pPr>
            <w:r>
              <w:rPr>
                <w:b/>
                <w:bCs/>
                <w:color w:val="000000"/>
                <w:sz w:val="18"/>
                <w:szCs w:val="18"/>
                <w:lang w:eastAsia="en-GB"/>
              </w:rPr>
              <w:t>224,411</w:t>
            </w:r>
          </w:p>
        </w:tc>
        <w:tc>
          <w:tcPr>
            <w:tcW w:w="532" w:type="pct"/>
            <w:tcBorders>
              <w:top w:val="single" w:sz="4" w:space="0" w:color="auto"/>
              <w:left w:val="nil"/>
              <w:bottom w:val="single" w:sz="4" w:space="0" w:color="auto"/>
              <w:right w:val="nil"/>
            </w:tcBorders>
            <w:shd w:val="clear" w:color="auto" w:fill="auto"/>
            <w:noWrap/>
            <w:vAlign w:val="bottom"/>
          </w:tcPr>
          <w:p w14:paraId="3750FF9F" w14:textId="0E4888C1" w:rsidR="000B68BF" w:rsidRPr="00EC690A" w:rsidRDefault="00AE1E1C" w:rsidP="000B68BF">
            <w:pPr>
              <w:jc w:val="right"/>
              <w:rPr>
                <w:b/>
                <w:bCs/>
                <w:color w:val="000000"/>
                <w:sz w:val="18"/>
                <w:szCs w:val="18"/>
                <w:lang w:eastAsia="en-GB"/>
              </w:rPr>
            </w:pPr>
            <w:r>
              <w:rPr>
                <w:b/>
                <w:bCs/>
                <w:color w:val="000000"/>
                <w:sz w:val="18"/>
                <w:szCs w:val="18"/>
                <w:lang w:eastAsia="en-GB"/>
              </w:rPr>
              <w:t>12,697</w:t>
            </w:r>
          </w:p>
        </w:tc>
        <w:tc>
          <w:tcPr>
            <w:tcW w:w="592" w:type="pct"/>
            <w:tcBorders>
              <w:top w:val="single" w:sz="4" w:space="0" w:color="auto"/>
              <w:left w:val="nil"/>
              <w:bottom w:val="single" w:sz="4" w:space="0" w:color="auto"/>
              <w:right w:val="nil"/>
            </w:tcBorders>
            <w:shd w:val="clear" w:color="auto" w:fill="auto"/>
            <w:noWrap/>
            <w:vAlign w:val="bottom"/>
          </w:tcPr>
          <w:p w14:paraId="396B5985" w14:textId="60AD5E78" w:rsidR="000B68BF" w:rsidRPr="00EC690A" w:rsidRDefault="00AE1E1C" w:rsidP="000B68BF">
            <w:pPr>
              <w:jc w:val="right"/>
              <w:rPr>
                <w:b/>
                <w:bCs/>
                <w:color w:val="000000"/>
                <w:sz w:val="18"/>
                <w:szCs w:val="18"/>
                <w:lang w:eastAsia="en-GB"/>
              </w:rPr>
            </w:pPr>
            <w:r>
              <w:rPr>
                <w:b/>
                <w:bCs/>
                <w:color w:val="000000"/>
                <w:sz w:val="18"/>
                <w:szCs w:val="18"/>
                <w:lang w:eastAsia="en-GB"/>
              </w:rPr>
              <w:t>839,541</w:t>
            </w:r>
          </w:p>
        </w:tc>
      </w:tr>
      <w:tr w:rsidR="000B68BF" w:rsidRPr="00EC690A" w14:paraId="5BEBDB2E" w14:textId="77777777" w:rsidTr="00CE428A">
        <w:trPr>
          <w:trHeight w:val="300"/>
        </w:trPr>
        <w:tc>
          <w:tcPr>
            <w:tcW w:w="1375" w:type="pct"/>
            <w:tcBorders>
              <w:top w:val="nil"/>
              <w:left w:val="nil"/>
              <w:bottom w:val="nil"/>
              <w:right w:val="nil"/>
            </w:tcBorders>
            <w:shd w:val="clear" w:color="auto" w:fill="auto"/>
            <w:noWrap/>
            <w:vAlign w:val="bottom"/>
            <w:hideMark/>
          </w:tcPr>
          <w:p w14:paraId="0D39C0C8" w14:textId="77777777" w:rsidR="000B68BF" w:rsidRPr="00EC690A" w:rsidRDefault="000B68BF" w:rsidP="000B68BF">
            <w:pPr>
              <w:rPr>
                <w:color w:val="000000"/>
                <w:sz w:val="18"/>
                <w:szCs w:val="18"/>
                <w:lang w:eastAsia="en-GB"/>
              </w:rPr>
            </w:pPr>
          </w:p>
        </w:tc>
        <w:tc>
          <w:tcPr>
            <w:tcW w:w="593" w:type="pct"/>
            <w:tcBorders>
              <w:top w:val="nil"/>
              <w:left w:val="nil"/>
              <w:bottom w:val="nil"/>
              <w:right w:val="nil"/>
            </w:tcBorders>
            <w:shd w:val="clear" w:color="auto" w:fill="auto"/>
            <w:noWrap/>
            <w:vAlign w:val="bottom"/>
          </w:tcPr>
          <w:p w14:paraId="7BA566BC"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13632F57" w14:textId="77777777" w:rsidR="000B68BF" w:rsidRPr="00EC690A" w:rsidRDefault="000B68BF" w:rsidP="000B68BF">
            <w:pPr>
              <w:rPr>
                <w:color w:val="000000"/>
                <w:sz w:val="18"/>
                <w:szCs w:val="18"/>
                <w:lang w:eastAsia="en-GB"/>
              </w:rPr>
            </w:pPr>
          </w:p>
        </w:tc>
        <w:tc>
          <w:tcPr>
            <w:tcW w:w="724" w:type="pct"/>
            <w:tcBorders>
              <w:top w:val="nil"/>
              <w:left w:val="nil"/>
              <w:bottom w:val="nil"/>
              <w:right w:val="nil"/>
            </w:tcBorders>
            <w:shd w:val="clear" w:color="auto" w:fill="auto"/>
            <w:noWrap/>
            <w:vAlign w:val="bottom"/>
          </w:tcPr>
          <w:p w14:paraId="5F1BC597"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47781968" w14:textId="77777777" w:rsidR="000B68BF" w:rsidRPr="00EC690A" w:rsidRDefault="000B68BF" w:rsidP="000B68BF">
            <w:pPr>
              <w:rPr>
                <w:color w:val="000000"/>
                <w:sz w:val="18"/>
                <w:szCs w:val="18"/>
                <w:lang w:eastAsia="en-GB"/>
              </w:rPr>
            </w:pPr>
          </w:p>
        </w:tc>
        <w:tc>
          <w:tcPr>
            <w:tcW w:w="532" w:type="pct"/>
            <w:tcBorders>
              <w:top w:val="nil"/>
              <w:left w:val="nil"/>
              <w:bottom w:val="nil"/>
              <w:right w:val="nil"/>
            </w:tcBorders>
            <w:shd w:val="clear" w:color="auto" w:fill="auto"/>
            <w:noWrap/>
            <w:vAlign w:val="bottom"/>
          </w:tcPr>
          <w:p w14:paraId="657385AB"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1BDBD7A0" w14:textId="77777777" w:rsidR="000B68BF" w:rsidRPr="00EC690A" w:rsidRDefault="000B68BF" w:rsidP="000B68BF">
            <w:pPr>
              <w:rPr>
                <w:b/>
                <w:bCs/>
                <w:color w:val="000000"/>
                <w:sz w:val="18"/>
                <w:szCs w:val="18"/>
                <w:lang w:eastAsia="en-GB"/>
              </w:rPr>
            </w:pPr>
          </w:p>
        </w:tc>
      </w:tr>
      <w:tr w:rsidR="000B68BF" w:rsidRPr="00EC690A" w14:paraId="1F00C16C" w14:textId="77777777" w:rsidTr="00CE428A">
        <w:trPr>
          <w:trHeight w:val="300"/>
        </w:trPr>
        <w:tc>
          <w:tcPr>
            <w:tcW w:w="1375" w:type="pct"/>
            <w:tcBorders>
              <w:top w:val="nil"/>
              <w:left w:val="nil"/>
              <w:bottom w:val="nil"/>
              <w:right w:val="nil"/>
            </w:tcBorders>
            <w:shd w:val="clear" w:color="auto" w:fill="auto"/>
            <w:noWrap/>
            <w:vAlign w:val="bottom"/>
            <w:hideMark/>
          </w:tcPr>
          <w:p w14:paraId="02446D8C" w14:textId="77777777" w:rsidR="000B68BF" w:rsidRPr="00EC690A" w:rsidRDefault="000B68BF" w:rsidP="000B68BF">
            <w:pPr>
              <w:rPr>
                <w:b/>
                <w:bCs/>
                <w:color w:val="000000"/>
                <w:sz w:val="18"/>
                <w:szCs w:val="18"/>
                <w:lang w:eastAsia="en-GB"/>
              </w:rPr>
            </w:pPr>
            <w:r w:rsidRPr="00EC690A">
              <w:rPr>
                <w:b/>
                <w:bCs/>
                <w:color w:val="000000"/>
                <w:sz w:val="18"/>
                <w:szCs w:val="18"/>
                <w:lang w:eastAsia="en-GB"/>
              </w:rPr>
              <w:t>Accumulated depreciation</w:t>
            </w:r>
          </w:p>
        </w:tc>
        <w:tc>
          <w:tcPr>
            <w:tcW w:w="593" w:type="pct"/>
            <w:tcBorders>
              <w:top w:val="nil"/>
              <w:left w:val="nil"/>
              <w:bottom w:val="nil"/>
              <w:right w:val="nil"/>
            </w:tcBorders>
            <w:shd w:val="clear" w:color="auto" w:fill="auto"/>
            <w:noWrap/>
            <w:vAlign w:val="bottom"/>
          </w:tcPr>
          <w:p w14:paraId="162B54AD"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175C28E6" w14:textId="77777777" w:rsidR="000B68BF" w:rsidRPr="00EC690A" w:rsidRDefault="000B68BF" w:rsidP="000B68BF">
            <w:pPr>
              <w:rPr>
                <w:color w:val="000000"/>
                <w:sz w:val="18"/>
                <w:szCs w:val="18"/>
                <w:lang w:eastAsia="en-GB"/>
              </w:rPr>
            </w:pPr>
          </w:p>
        </w:tc>
        <w:tc>
          <w:tcPr>
            <w:tcW w:w="724" w:type="pct"/>
            <w:tcBorders>
              <w:top w:val="nil"/>
              <w:left w:val="nil"/>
              <w:bottom w:val="nil"/>
              <w:right w:val="nil"/>
            </w:tcBorders>
            <w:shd w:val="clear" w:color="auto" w:fill="auto"/>
            <w:noWrap/>
            <w:vAlign w:val="bottom"/>
          </w:tcPr>
          <w:p w14:paraId="4599C4F0"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37250CAC" w14:textId="77777777" w:rsidR="000B68BF" w:rsidRPr="00EC690A" w:rsidRDefault="000B68BF" w:rsidP="000B68BF">
            <w:pPr>
              <w:rPr>
                <w:color w:val="000000"/>
                <w:sz w:val="18"/>
                <w:szCs w:val="18"/>
                <w:lang w:eastAsia="en-GB"/>
              </w:rPr>
            </w:pPr>
          </w:p>
        </w:tc>
        <w:tc>
          <w:tcPr>
            <w:tcW w:w="532" w:type="pct"/>
            <w:tcBorders>
              <w:top w:val="nil"/>
              <w:left w:val="nil"/>
              <w:bottom w:val="nil"/>
              <w:right w:val="nil"/>
            </w:tcBorders>
            <w:shd w:val="clear" w:color="auto" w:fill="auto"/>
            <w:noWrap/>
            <w:vAlign w:val="bottom"/>
          </w:tcPr>
          <w:p w14:paraId="2363E207"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49E2DB38" w14:textId="77777777" w:rsidR="000B68BF" w:rsidRPr="00EC690A" w:rsidRDefault="000B68BF" w:rsidP="000B68BF">
            <w:pPr>
              <w:rPr>
                <w:color w:val="000000"/>
                <w:sz w:val="18"/>
                <w:szCs w:val="18"/>
                <w:lang w:eastAsia="en-GB"/>
              </w:rPr>
            </w:pPr>
          </w:p>
        </w:tc>
      </w:tr>
      <w:tr w:rsidR="000B68BF" w:rsidRPr="00EC690A" w14:paraId="300988CD" w14:textId="77777777" w:rsidTr="00CE428A">
        <w:trPr>
          <w:trHeight w:val="300"/>
        </w:trPr>
        <w:tc>
          <w:tcPr>
            <w:tcW w:w="1375" w:type="pct"/>
            <w:tcBorders>
              <w:top w:val="nil"/>
              <w:left w:val="nil"/>
              <w:bottom w:val="nil"/>
              <w:right w:val="nil"/>
            </w:tcBorders>
            <w:shd w:val="clear" w:color="auto" w:fill="auto"/>
            <w:noWrap/>
            <w:vAlign w:val="bottom"/>
            <w:hideMark/>
          </w:tcPr>
          <w:p w14:paraId="7B090A0C" w14:textId="06DDB91E" w:rsidR="000B68BF" w:rsidRPr="00EC690A" w:rsidRDefault="000B68BF" w:rsidP="000B68BF">
            <w:pPr>
              <w:rPr>
                <w:color w:val="000000"/>
                <w:sz w:val="18"/>
                <w:szCs w:val="18"/>
                <w:lang w:eastAsia="en-GB"/>
              </w:rPr>
            </w:pPr>
            <w:r w:rsidRPr="00EC690A">
              <w:rPr>
                <w:color w:val="000000"/>
                <w:sz w:val="18"/>
                <w:szCs w:val="18"/>
                <w:lang w:eastAsia="en-GB"/>
              </w:rPr>
              <w:t>31 December 201</w:t>
            </w:r>
            <w:r w:rsidR="003B733B">
              <w:rPr>
                <w:color w:val="000000"/>
                <w:sz w:val="18"/>
                <w:szCs w:val="18"/>
                <w:lang w:eastAsia="en-GB"/>
              </w:rPr>
              <w:t>7</w:t>
            </w:r>
          </w:p>
        </w:tc>
        <w:tc>
          <w:tcPr>
            <w:tcW w:w="593" w:type="pct"/>
            <w:tcBorders>
              <w:top w:val="nil"/>
              <w:left w:val="nil"/>
              <w:bottom w:val="nil"/>
              <w:right w:val="nil"/>
            </w:tcBorders>
            <w:shd w:val="clear" w:color="auto" w:fill="auto"/>
            <w:noWrap/>
            <w:vAlign w:val="bottom"/>
          </w:tcPr>
          <w:p w14:paraId="24D368F2" w14:textId="3666672E" w:rsidR="000B68BF" w:rsidRPr="00EC690A" w:rsidRDefault="000B68BF" w:rsidP="000B68BF">
            <w:pPr>
              <w:jc w:val="right"/>
              <w:rPr>
                <w:color w:val="000000"/>
                <w:sz w:val="18"/>
                <w:szCs w:val="18"/>
                <w:lang w:eastAsia="en-GB"/>
              </w:rPr>
            </w:pPr>
            <w:r>
              <w:rPr>
                <w:color w:val="000000"/>
                <w:sz w:val="18"/>
                <w:szCs w:val="18"/>
                <w:lang w:eastAsia="en-GB"/>
              </w:rPr>
              <w:t>(</w:t>
            </w:r>
            <w:r w:rsidR="00AE1E1C">
              <w:rPr>
                <w:color w:val="000000"/>
                <w:sz w:val="18"/>
                <w:szCs w:val="18"/>
                <w:lang w:eastAsia="en-GB"/>
              </w:rPr>
              <w:t>131,338</w:t>
            </w: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5D6DC5AF" w14:textId="038E57D2" w:rsidR="000B68BF" w:rsidRPr="00EC690A" w:rsidRDefault="000B68BF" w:rsidP="000B68BF">
            <w:pPr>
              <w:jc w:val="right"/>
              <w:rPr>
                <w:color w:val="000000"/>
                <w:sz w:val="18"/>
                <w:szCs w:val="18"/>
                <w:lang w:eastAsia="en-GB"/>
              </w:rPr>
            </w:pPr>
            <w:r>
              <w:rPr>
                <w:color w:val="000000"/>
                <w:sz w:val="18"/>
                <w:szCs w:val="18"/>
                <w:lang w:eastAsia="en-GB"/>
              </w:rPr>
              <w:t>(</w:t>
            </w:r>
            <w:r w:rsidR="00AE1E1C">
              <w:rPr>
                <w:color w:val="000000"/>
                <w:sz w:val="18"/>
                <w:szCs w:val="18"/>
                <w:lang w:eastAsia="en-GB"/>
              </w:rPr>
              <w:t>142,369</w:t>
            </w:r>
            <w:r>
              <w:rPr>
                <w:color w:val="000000"/>
                <w:sz w:val="18"/>
                <w:szCs w:val="18"/>
                <w:lang w:eastAsia="en-GB"/>
              </w:rPr>
              <w:t>)</w:t>
            </w:r>
          </w:p>
        </w:tc>
        <w:tc>
          <w:tcPr>
            <w:tcW w:w="724" w:type="pct"/>
            <w:tcBorders>
              <w:top w:val="nil"/>
              <w:left w:val="nil"/>
              <w:bottom w:val="nil"/>
              <w:right w:val="nil"/>
            </w:tcBorders>
            <w:shd w:val="clear" w:color="auto" w:fill="auto"/>
            <w:noWrap/>
            <w:vAlign w:val="bottom"/>
          </w:tcPr>
          <w:p w14:paraId="5745A623" w14:textId="0C21ABD4" w:rsidR="000B68BF" w:rsidRPr="00EC690A" w:rsidRDefault="000B68BF" w:rsidP="000B68BF">
            <w:pPr>
              <w:jc w:val="right"/>
              <w:rPr>
                <w:color w:val="000000"/>
                <w:sz w:val="18"/>
                <w:szCs w:val="18"/>
                <w:lang w:eastAsia="en-GB"/>
              </w:rPr>
            </w:pPr>
            <w:r>
              <w:rPr>
                <w:color w:val="000000"/>
                <w:sz w:val="18"/>
                <w:szCs w:val="18"/>
                <w:lang w:eastAsia="en-GB"/>
              </w:rPr>
              <w:t>(</w:t>
            </w:r>
            <w:r w:rsidR="00AE1E1C">
              <w:rPr>
                <w:color w:val="000000"/>
                <w:sz w:val="18"/>
                <w:szCs w:val="18"/>
                <w:lang w:eastAsia="en-GB"/>
              </w:rPr>
              <w:t>76,882</w:t>
            </w: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26036535" w14:textId="27D0F0E7" w:rsidR="000B68BF" w:rsidRPr="00EC690A" w:rsidRDefault="000B68BF" w:rsidP="000B68BF">
            <w:pPr>
              <w:jc w:val="right"/>
              <w:rPr>
                <w:color w:val="000000"/>
                <w:sz w:val="18"/>
                <w:szCs w:val="18"/>
                <w:lang w:eastAsia="en-GB"/>
              </w:rPr>
            </w:pPr>
            <w:r>
              <w:rPr>
                <w:color w:val="000000"/>
                <w:sz w:val="18"/>
                <w:szCs w:val="18"/>
                <w:lang w:eastAsia="en-GB"/>
              </w:rPr>
              <w:t>(</w:t>
            </w:r>
            <w:r w:rsidR="00AE1E1C">
              <w:rPr>
                <w:color w:val="000000"/>
                <w:sz w:val="18"/>
                <w:szCs w:val="18"/>
                <w:lang w:eastAsia="en-GB"/>
              </w:rPr>
              <w:t>162,959</w:t>
            </w:r>
            <w:r>
              <w:rPr>
                <w:color w:val="000000"/>
                <w:sz w:val="18"/>
                <w:szCs w:val="18"/>
                <w:lang w:eastAsia="en-GB"/>
              </w:rPr>
              <w:t>)</w:t>
            </w:r>
          </w:p>
        </w:tc>
        <w:tc>
          <w:tcPr>
            <w:tcW w:w="532" w:type="pct"/>
            <w:tcBorders>
              <w:top w:val="nil"/>
              <w:left w:val="nil"/>
              <w:bottom w:val="nil"/>
              <w:right w:val="nil"/>
            </w:tcBorders>
            <w:shd w:val="clear" w:color="auto" w:fill="auto"/>
            <w:noWrap/>
            <w:vAlign w:val="bottom"/>
          </w:tcPr>
          <w:p w14:paraId="6B4E6995" w14:textId="307C0AD3" w:rsidR="000B68BF" w:rsidRPr="00EC690A" w:rsidRDefault="00AE1E1C" w:rsidP="000B68BF">
            <w:pPr>
              <w:jc w:val="right"/>
              <w:rPr>
                <w:color w:val="000000"/>
                <w:sz w:val="18"/>
                <w:szCs w:val="18"/>
                <w:lang w:eastAsia="en-GB"/>
              </w:rPr>
            </w:pPr>
            <w:r>
              <w:rPr>
                <w:color w:val="000000"/>
                <w:sz w:val="18"/>
                <w:szCs w:val="18"/>
                <w:lang w:eastAsia="en-GB"/>
              </w:rPr>
              <w:t>(12,697)</w:t>
            </w:r>
          </w:p>
        </w:tc>
        <w:tc>
          <w:tcPr>
            <w:tcW w:w="592" w:type="pct"/>
            <w:tcBorders>
              <w:top w:val="nil"/>
              <w:left w:val="nil"/>
              <w:bottom w:val="nil"/>
              <w:right w:val="nil"/>
            </w:tcBorders>
            <w:shd w:val="clear" w:color="auto" w:fill="auto"/>
            <w:noWrap/>
            <w:vAlign w:val="bottom"/>
          </w:tcPr>
          <w:p w14:paraId="3A357656" w14:textId="38AF565B" w:rsidR="000B68BF" w:rsidRPr="00EC690A" w:rsidRDefault="00AE1E1C" w:rsidP="000B68BF">
            <w:pPr>
              <w:jc w:val="right"/>
              <w:rPr>
                <w:b/>
                <w:bCs/>
                <w:color w:val="000000"/>
                <w:sz w:val="18"/>
                <w:szCs w:val="18"/>
                <w:lang w:eastAsia="en-GB"/>
              </w:rPr>
            </w:pPr>
            <w:r>
              <w:rPr>
                <w:b/>
                <w:bCs/>
                <w:color w:val="000000"/>
                <w:sz w:val="18"/>
                <w:szCs w:val="18"/>
                <w:lang w:eastAsia="en-GB"/>
              </w:rPr>
              <w:t>(526,245)</w:t>
            </w:r>
          </w:p>
        </w:tc>
      </w:tr>
      <w:tr w:rsidR="000B68BF" w:rsidRPr="00EC690A" w14:paraId="441740DE" w14:textId="77777777" w:rsidTr="00CE428A">
        <w:trPr>
          <w:trHeight w:val="300"/>
        </w:trPr>
        <w:tc>
          <w:tcPr>
            <w:tcW w:w="1375" w:type="pct"/>
            <w:tcBorders>
              <w:top w:val="nil"/>
              <w:left w:val="nil"/>
              <w:bottom w:val="nil"/>
              <w:right w:val="nil"/>
            </w:tcBorders>
            <w:shd w:val="clear" w:color="auto" w:fill="auto"/>
            <w:noWrap/>
            <w:vAlign w:val="bottom"/>
            <w:hideMark/>
          </w:tcPr>
          <w:p w14:paraId="78D1E5DA" w14:textId="77777777" w:rsidR="000B68BF" w:rsidRPr="00EC690A" w:rsidRDefault="000B68BF" w:rsidP="000B68BF">
            <w:pPr>
              <w:rPr>
                <w:color w:val="000000"/>
                <w:sz w:val="18"/>
                <w:szCs w:val="18"/>
                <w:lang w:eastAsia="en-GB"/>
              </w:rPr>
            </w:pPr>
            <w:r w:rsidRPr="00EC690A">
              <w:rPr>
                <w:color w:val="000000"/>
                <w:sz w:val="18"/>
                <w:szCs w:val="18"/>
                <w:lang w:eastAsia="en-GB"/>
              </w:rPr>
              <w:t>Depreciation charge</w:t>
            </w:r>
          </w:p>
        </w:tc>
        <w:tc>
          <w:tcPr>
            <w:tcW w:w="593" w:type="pct"/>
            <w:tcBorders>
              <w:top w:val="nil"/>
              <w:left w:val="nil"/>
              <w:bottom w:val="nil"/>
              <w:right w:val="nil"/>
            </w:tcBorders>
            <w:shd w:val="clear" w:color="auto" w:fill="auto"/>
            <w:noWrap/>
            <w:vAlign w:val="bottom"/>
          </w:tcPr>
          <w:p w14:paraId="276BE40B" w14:textId="5BCADDB4" w:rsidR="000B68BF" w:rsidRPr="00EC690A" w:rsidRDefault="00AE1E1C" w:rsidP="000B68BF">
            <w:pPr>
              <w:jc w:val="right"/>
              <w:rPr>
                <w:color w:val="000000"/>
                <w:sz w:val="18"/>
                <w:szCs w:val="18"/>
                <w:lang w:eastAsia="en-GB"/>
              </w:rPr>
            </w:pPr>
            <w:r>
              <w:rPr>
                <w:color w:val="000000"/>
                <w:sz w:val="18"/>
                <w:szCs w:val="18"/>
                <w:lang w:eastAsia="en-GB"/>
              </w:rPr>
              <w:t>(22,083)</w:t>
            </w:r>
          </w:p>
        </w:tc>
        <w:tc>
          <w:tcPr>
            <w:tcW w:w="592" w:type="pct"/>
            <w:tcBorders>
              <w:top w:val="nil"/>
              <w:left w:val="nil"/>
              <w:bottom w:val="nil"/>
              <w:right w:val="nil"/>
            </w:tcBorders>
            <w:shd w:val="clear" w:color="auto" w:fill="auto"/>
            <w:noWrap/>
            <w:vAlign w:val="bottom"/>
          </w:tcPr>
          <w:p w14:paraId="7118399C" w14:textId="2ABF855C" w:rsidR="000B68BF" w:rsidRPr="00EC690A" w:rsidRDefault="00AE1E1C" w:rsidP="000B68BF">
            <w:pPr>
              <w:jc w:val="right"/>
              <w:rPr>
                <w:color w:val="000000"/>
                <w:sz w:val="18"/>
                <w:szCs w:val="18"/>
                <w:lang w:eastAsia="en-GB"/>
              </w:rPr>
            </w:pPr>
            <w:r>
              <w:rPr>
                <w:color w:val="000000"/>
                <w:sz w:val="18"/>
                <w:szCs w:val="18"/>
                <w:lang w:eastAsia="en-GB"/>
              </w:rPr>
              <w:t>(1,988)</w:t>
            </w:r>
          </w:p>
        </w:tc>
        <w:tc>
          <w:tcPr>
            <w:tcW w:w="724" w:type="pct"/>
            <w:tcBorders>
              <w:top w:val="nil"/>
              <w:left w:val="nil"/>
              <w:bottom w:val="nil"/>
              <w:right w:val="nil"/>
            </w:tcBorders>
            <w:shd w:val="clear" w:color="auto" w:fill="auto"/>
            <w:noWrap/>
            <w:vAlign w:val="bottom"/>
          </w:tcPr>
          <w:p w14:paraId="4966F7AE" w14:textId="6228CD20" w:rsidR="000B68BF" w:rsidRPr="00EC690A" w:rsidRDefault="00AE1E1C" w:rsidP="000B68BF">
            <w:pPr>
              <w:jc w:val="right"/>
              <w:rPr>
                <w:color w:val="000000"/>
                <w:sz w:val="18"/>
                <w:szCs w:val="18"/>
                <w:lang w:eastAsia="en-GB"/>
              </w:rPr>
            </w:pPr>
            <w:r>
              <w:rPr>
                <w:color w:val="000000"/>
                <w:sz w:val="18"/>
                <w:szCs w:val="18"/>
                <w:lang w:eastAsia="en-GB"/>
              </w:rPr>
              <w:t>(15,618)</w:t>
            </w:r>
          </w:p>
        </w:tc>
        <w:tc>
          <w:tcPr>
            <w:tcW w:w="592" w:type="pct"/>
            <w:tcBorders>
              <w:top w:val="nil"/>
              <w:left w:val="nil"/>
              <w:bottom w:val="nil"/>
              <w:right w:val="nil"/>
            </w:tcBorders>
            <w:shd w:val="clear" w:color="auto" w:fill="auto"/>
            <w:noWrap/>
            <w:vAlign w:val="bottom"/>
          </w:tcPr>
          <w:p w14:paraId="0E38982B" w14:textId="1106B6CB" w:rsidR="000B68BF" w:rsidRPr="00EC690A" w:rsidRDefault="00AE1E1C" w:rsidP="000B68BF">
            <w:pPr>
              <w:jc w:val="right"/>
              <w:rPr>
                <w:color w:val="000000"/>
                <w:sz w:val="18"/>
                <w:szCs w:val="18"/>
                <w:lang w:eastAsia="en-GB"/>
              </w:rPr>
            </w:pPr>
            <w:r>
              <w:rPr>
                <w:color w:val="000000"/>
                <w:sz w:val="18"/>
                <w:szCs w:val="18"/>
                <w:lang w:eastAsia="en-GB"/>
              </w:rPr>
              <w:t>(24,873)</w:t>
            </w:r>
          </w:p>
        </w:tc>
        <w:tc>
          <w:tcPr>
            <w:tcW w:w="532" w:type="pct"/>
            <w:tcBorders>
              <w:top w:val="nil"/>
              <w:left w:val="nil"/>
              <w:bottom w:val="nil"/>
              <w:right w:val="nil"/>
            </w:tcBorders>
            <w:shd w:val="clear" w:color="auto" w:fill="auto"/>
            <w:noWrap/>
            <w:vAlign w:val="bottom"/>
          </w:tcPr>
          <w:p w14:paraId="2C3267D0" w14:textId="499F3188" w:rsidR="000B68BF" w:rsidRPr="00EC690A" w:rsidRDefault="00AE1E1C" w:rsidP="000B68BF">
            <w:pPr>
              <w:jc w:val="right"/>
              <w:rPr>
                <w:color w:val="000000"/>
                <w:sz w:val="18"/>
                <w:szCs w:val="18"/>
                <w:lang w:eastAsia="en-GB"/>
              </w:rPr>
            </w:pP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24C56743" w14:textId="7F988425" w:rsidR="000B68BF" w:rsidRPr="00EC690A" w:rsidRDefault="00AE1E1C" w:rsidP="000B68BF">
            <w:pPr>
              <w:jc w:val="right"/>
              <w:rPr>
                <w:b/>
                <w:bCs/>
                <w:color w:val="000000"/>
                <w:sz w:val="18"/>
                <w:szCs w:val="18"/>
                <w:lang w:eastAsia="en-GB"/>
              </w:rPr>
            </w:pPr>
            <w:r>
              <w:rPr>
                <w:b/>
                <w:bCs/>
                <w:color w:val="000000"/>
                <w:sz w:val="18"/>
                <w:szCs w:val="18"/>
                <w:lang w:eastAsia="en-GB"/>
              </w:rPr>
              <w:t>(64,562)</w:t>
            </w:r>
          </w:p>
        </w:tc>
      </w:tr>
      <w:tr w:rsidR="000B68BF" w:rsidRPr="00EC690A" w14:paraId="4577647F" w14:textId="77777777" w:rsidTr="00CE428A">
        <w:trPr>
          <w:trHeight w:val="300"/>
        </w:trPr>
        <w:tc>
          <w:tcPr>
            <w:tcW w:w="1375" w:type="pct"/>
            <w:tcBorders>
              <w:top w:val="nil"/>
              <w:left w:val="nil"/>
              <w:bottom w:val="nil"/>
              <w:right w:val="nil"/>
            </w:tcBorders>
            <w:shd w:val="clear" w:color="auto" w:fill="auto"/>
            <w:noWrap/>
            <w:vAlign w:val="bottom"/>
            <w:hideMark/>
          </w:tcPr>
          <w:p w14:paraId="4B206215" w14:textId="77777777" w:rsidR="000B68BF" w:rsidRPr="00EC690A" w:rsidRDefault="000B68BF" w:rsidP="000B68BF">
            <w:pPr>
              <w:rPr>
                <w:color w:val="000000"/>
                <w:sz w:val="18"/>
                <w:szCs w:val="18"/>
                <w:lang w:eastAsia="en-GB"/>
              </w:rPr>
            </w:pPr>
            <w:r w:rsidRPr="00EC690A">
              <w:rPr>
                <w:color w:val="000000"/>
                <w:sz w:val="18"/>
                <w:szCs w:val="18"/>
                <w:lang w:eastAsia="en-GB"/>
              </w:rPr>
              <w:t>Eliminated on disposal</w:t>
            </w:r>
          </w:p>
        </w:tc>
        <w:tc>
          <w:tcPr>
            <w:tcW w:w="593" w:type="pct"/>
            <w:tcBorders>
              <w:top w:val="nil"/>
              <w:left w:val="nil"/>
              <w:bottom w:val="nil"/>
              <w:right w:val="nil"/>
            </w:tcBorders>
            <w:shd w:val="clear" w:color="auto" w:fill="auto"/>
            <w:noWrap/>
            <w:vAlign w:val="bottom"/>
          </w:tcPr>
          <w:p w14:paraId="345FACE0" w14:textId="0E784173" w:rsidR="000B68BF" w:rsidRPr="00EC690A" w:rsidRDefault="00AE1E1C" w:rsidP="000B68BF">
            <w:pPr>
              <w:jc w:val="right"/>
              <w:rPr>
                <w:color w:val="000000"/>
                <w:sz w:val="18"/>
                <w:szCs w:val="18"/>
                <w:lang w:eastAsia="en-GB"/>
              </w:rPr>
            </w:pP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5577E0C5" w14:textId="24F45C13" w:rsidR="000B68BF" w:rsidRPr="00EC690A" w:rsidRDefault="00AE1E1C" w:rsidP="000B68BF">
            <w:pPr>
              <w:jc w:val="right"/>
              <w:rPr>
                <w:color w:val="000000"/>
                <w:sz w:val="18"/>
                <w:szCs w:val="18"/>
                <w:lang w:eastAsia="en-GB"/>
              </w:rPr>
            </w:pPr>
            <w:r>
              <w:rPr>
                <w:color w:val="000000"/>
                <w:sz w:val="18"/>
                <w:szCs w:val="18"/>
                <w:lang w:eastAsia="en-GB"/>
              </w:rPr>
              <w:t>425</w:t>
            </w:r>
          </w:p>
        </w:tc>
        <w:tc>
          <w:tcPr>
            <w:tcW w:w="724" w:type="pct"/>
            <w:tcBorders>
              <w:top w:val="nil"/>
              <w:left w:val="nil"/>
              <w:bottom w:val="nil"/>
              <w:right w:val="nil"/>
            </w:tcBorders>
            <w:shd w:val="clear" w:color="auto" w:fill="auto"/>
            <w:noWrap/>
            <w:vAlign w:val="bottom"/>
          </w:tcPr>
          <w:p w14:paraId="72F6C5C6" w14:textId="74880E2A" w:rsidR="000B68BF" w:rsidRPr="00EC690A" w:rsidRDefault="00AE1E1C" w:rsidP="000B68BF">
            <w:pPr>
              <w:jc w:val="right"/>
              <w:rPr>
                <w:color w:val="000000"/>
                <w:sz w:val="18"/>
                <w:szCs w:val="18"/>
                <w:lang w:eastAsia="en-GB"/>
              </w:rPr>
            </w:pPr>
            <w:r>
              <w:rPr>
                <w:color w:val="000000"/>
                <w:sz w:val="18"/>
                <w:szCs w:val="18"/>
                <w:lang w:eastAsia="en-GB"/>
              </w:rPr>
              <w:t>10,682</w:t>
            </w:r>
          </w:p>
        </w:tc>
        <w:tc>
          <w:tcPr>
            <w:tcW w:w="592" w:type="pct"/>
            <w:tcBorders>
              <w:top w:val="nil"/>
              <w:left w:val="nil"/>
              <w:bottom w:val="nil"/>
              <w:right w:val="nil"/>
            </w:tcBorders>
            <w:shd w:val="clear" w:color="auto" w:fill="auto"/>
            <w:noWrap/>
            <w:vAlign w:val="bottom"/>
          </w:tcPr>
          <w:p w14:paraId="000E1F77" w14:textId="229469A1" w:rsidR="000B68BF" w:rsidRPr="00EC690A" w:rsidRDefault="00AE1E1C" w:rsidP="000B68BF">
            <w:pPr>
              <w:jc w:val="right"/>
              <w:rPr>
                <w:color w:val="000000"/>
                <w:sz w:val="18"/>
                <w:szCs w:val="18"/>
                <w:lang w:eastAsia="en-GB"/>
              </w:rPr>
            </w:pPr>
            <w:r>
              <w:rPr>
                <w:color w:val="000000"/>
                <w:sz w:val="18"/>
                <w:szCs w:val="18"/>
                <w:lang w:eastAsia="en-GB"/>
              </w:rPr>
              <w:t>-</w:t>
            </w:r>
          </w:p>
        </w:tc>
        <w:tc>
          <w:tcPr>
            <w:tcW w:w="532" w:type="pct"/>
            <w:tcBorders>
              <w:top w:val="nil"/>
              <w:left w:val="nil"/>
              <w:bottom w:val="nil"/>
              <w:right w:val="nil"/>
            </w:tcBorders>
            <w:shd w:val="clear" w:color="auto" w:fill="auto"/>
            <w:noWrap/>
            <w:vAlign w:val="bottom"/>
          </w:tcPr>
          <w:p w14:paraId="38D9C650" w14:textId="32A50F72" w:rsidR="000B68BF" w:rsidRPr="00EC690A" w:rsidRDefault="00AE1E1C" w:rsidP="000B68BF">
            <w:pPr>
              <w:jc w:val="right"/>
              <w:rPr>
                <w:color w:val="000000"/>
                <w:sz w:val="18"/>
                <w:szCs w:val="18"/>
                <w:lang w:eastAsia="en-GB"/>
              </w:rPr>
            </w:pPr>
            <w:r>
              <w:rPr>
                <w:color w:val="000000"/>
                <w:sz w:val="18"/>
                <w:szCs w:val="18"/>
                <w:lang w:eastAsia="en-GB"/>
              </w:rPr>
              <w:t>-</w:t>
            </w:r>
          </w:p>
        </w:tc>
        <w:tc>
          <w:tcPr>
            <w:tcW w:w="592" w:type="pct"/>
            <w:tcBorders>
              <w:top w:val="nil"/>
              <w:left w:val="nil"/>
              <w:bottom w:val="nil"/>
              <w:right w:val="nil"/>
            </w:tcBorders>
            <w:shd w:val="clear" w:color="auto" w:fill="auto"/>
            <w:noWrap/>
            <w:vAlign w:val="bottom"/>
          </w:tcPr>
          <w:p w14:paraId="1599B9BE" w14:textId="301624DB" w:rsidR="000B68BF" w:rsidRPr="00EC690A" w:rsidRDefault="00AE1E1C" w:rsidP="000B68BF">
            <w:pPr>
              <w:jc w:val="right"/>
              <w:rPr>
                <w:b/>
                <w:bCs/>
                <w:color w:val="000000"/>
                <w:sz w:val="18"/>
                <w:szCs w:val="18"/>
                <w:lang w:eastAsia="en-GB"/>
              </w:rPr>
            </w:pPr>
            <w:r>
              <w:rPr>
                <w:b/>
                <w:bCs/>
                <w:color w:val="000000"/>
                <w:sz w:val="18"/>
                <w:szCs w:val="18"/>
                <w:lang w:eastAsia="en-GB"/>
              </w:rPr>
              <w:t>11,107</w:t>
            </w:r>
          </w:p>
        </w:tc>
      </w:tr>
      <w:tr w:rsidR="000B68BF" w:rsidRPr="00EC690A" w14:paraId="0C69DDB6" w14:textId="77777777" w:rsidTr="00CE428A">
        <w:trPr>
          <w:trHeight w:val="300"/>
        </w:trPr>
        <w:tc>
          <w:tcPr>
            <w:tcW w:w="1375" w:type="pct"/>
            <w:tcBorders>
              <w:top w:val="single" w:sz="4" w:space="0" w:color="auto"/>
              <w:left w:val="nil"/>
              <w:bottom w:val="single" w:sz="4" w:space="0" w:color="auto"/>
              <w:right w:val="nil"/>
            </w:tcBorders>
            <w:shd w:val="clear" w:color="auto" w:fill="auto"/>
            <w:noWrap/>
            <w:vAlign w:val="bottom"/>
            <w:hideMark/>
          </w:tcPr>
          <w:p w14:paraId="10573801" w14:textId="1A21232C" w:rsidR="000B68BF" w:rsidRPr="00EC690A" w:rsidRDefault="000B68BF" w:rsidP="000B68BF">
            <w:pPr>
              <w:rPr>
                <w:b/>
                <w:bCs/>
                <w:color w:val="000000"/>
                <w:sz w:val="18"/>
                <w:szCs w:val="18"/>
                <w:lang w:eastAsia="en-GB"/>
              </w:rPr>
            </w:pPr>
            <w:r w:rsidRPr="00EC690A">
              <w:rPr>
                <w:b/>
                <w:bCs/>
                <w:color w:val="000000"/>
                <w:sz w:val="18"/>
                <w:szCs w:val="18"/>
                <w:lang w:eastAsia="en-GB"/>
              </w:rPr>
              <w:t>31 December 201</w:t>
            </w:r>
            <w:r w:rsidR="003B733B">
              <w:rPr>
                <w:b/>
                <w:bCs/>
                <w:color w:val="000000"/>
                <w:sz w:val="18"/>
                <w:szCs w:val="18"/>
                <w:lang w:eastAsia="en-GB"/>
              </w:rPr>
              <w:t>8</w:t>
            </w:r>
          </w:p>
        </w:tc>
        <w:tc>
          <w:tcPr>
            <w:tcW w:w="593" w:type="pct"/>
            <w:tcBorders>
              <w:top w:val="single" w:sz="4" w:space="0" w:color="auto"/>
              <w:left w:val="nil"/>
              <w:bottom w:val="single" w:sz="4" w:space="0" w:color="auto"/>
              <w:right w:val="nil"/>
            </w:tcBorders>
            <w:shd w:val="clear" w:color="auto" w:fill="auto"/>
            <w:noWrap/>
            <w:vAlign w:val="bottom"/>
          </w:tcPr>
          <w:p w14:paraId="7D0C25FF" w14:textId="438EA4EE" w:rsidR="000B68BF" w:rsidRPr="00EC690A" w:rsidRDefault="00AE1E1C" w:rsidP="000B68BF">
            <w:pPr>
              <w:jc w:val="right"/>
              <w:rPr>
                <w:b/>
                <w:bCs/>
                <w:color w:val="000000"/>
                <w:sz w:val="18"/>
                <w:szCs w:val="18"/>
                <w:lang w:eastAsia="en-GB"/>
              </w:rPr>
            </w:pPr>
            <w:r>
              <w:rPr>
                <w:b/>
                <w:bCs/>
                <w:color w:val="000000"/>
                <w:sz w:val="18"/>
                <w:szCs w:val="18"/>
                <w:lang w:eastAsia="en-GB"/>
              </w:rPr>
              <w:t>(153,421)</w:t>
            </w:r>
          </w:p>
        </w:tc>
        <w:tc>
          <w:tcPr>
            <w:tcW w:w="592" w:type="pct"/>
            <w:tcBorders>
              <w:top w:val="single" w:sz="4" w:space="0" w:color="auto"/>
              <w:left w:val="nil"/>
              <w:bottom w:val="single" w:sz="4" w:space="0" w:color="auto"/>
              <w:right w:val="nil"/>
            </w:tcBorders>
            <w:shd w:val="clear" w:color="auto" w:fill="auto"/>
            <w:noWrap/>
            <w:vAlign w:val="bottom"/>
          </w:tcPr>
          <w:p w14:paraId="561AAB36" w14:textId="4F5EAEC5" w:rsidR="000B68BF" w:rsidRPr="00EC690A" w:rsidRDefault="00AE1E1C" w:rsidP="000B68BF">
            <w:pPr>
              <w:jc w:val="right"/>
              <w:rPr>
                <w:b/>
                <w:bCs/>
                <w:color w:val="000000"/>
                <w:sz w:val="18"/>
                <w:szCs w:val="18"/>
                <w:lang w:eastAsia="en-GB"/>
              </w:rPr>
            </w:pPr>
            <w:r>
              <w:rPr>
                <w:b/>
                <w:bCs/>
                <w:color w:val="000000"/>
                <w:sz w:val="18"/>
                <w:szCs w:val="18"/>
                <w:lang w:eastAsia="en-GB"/>
              </w:rPr>
              <w:t>(143,932)</w:t>
            </w:r>
          </w:p>
        </w:tc>
        <w:tc>
          <w:tcPr>
            <w:tcW w:w="724" w:type="pct"/>
            <w:tcBorders>
              <w:top w:val="single" w:sz="4" w:space="0" w:color="auto"/>
              <w:left w:val="nil"/>
              <w:bottom w:val="single" w:sz="4" w:space="0" w:color="auto"/>
              <w:right w:val="nil"/>
            </w:tcBorders>
            <w:shd w:val="clear" w:color="auto" w:fill="auto"/>
            <w:noWrap/>
            <w:vAlign w:val="bottom"/>
          </w:tcPr>
          <w:p w14:paraId="58270EF5" w14:textId="1218DDD8" w:rsidR="000B68BF" w:rsidRPr="00EC690A" w:rsidRDefault="00AE1E1C" w:rsidP="000B68BF">
            <w:pPr>
              <w:jc w:val="right"/>
              <w:rPr>
                <w:b/>
                <w:bCs/>
                <w:color w:val="000000"/>
                <w:sz w:val="18"/>
                <w:szCs w:val="18"/>
                <w:lang w:eastAsia="en-GB"/>
              </w:rPr>
            </w:pPr>
            <w:r>
              <w:rPr>
                <w:b/>
                <w:bCs/>
                <w:color w:val="000000"/>
                <w:sz w:val="18"/>
                <w:szCs w:val="18"/>
                <w:lang w:eastAsia="en-GB"/>
              </w:rPr>
              <w:t>(81,818)</w:t>
            </w:r>
          </w:p>
        </w:tc>
        <w:tc>
          <w:tcPr>
            <w:tcW w:w="592" w:type="pct"/>
            <w:tcBorders>
              <w:top w:val="single" w:sz="4" w:space="0" w:color="auto"/>
              <w:left w:val="nil"/>
              <w:bottom w:val="single" w:sz="4" w:space="0" w:color="auto"/>
              <w:right w:val="nil"/>
            </w:tcBorders>
            <w:shd w:val="clear" w:color="auto" w:fill="auto"/>
            <w:noWrap/>
            <w:vAlign w:val="bottom"/>
          </w:tcPr>
          <w:p w14:paraId="6D75ACC3" w14:textId="2E65B8C8" w:rsidR="000B68BF" w:rsidRPr="00EC690A" w:rsidRDefault="00AE1E1C" w:rsidP="000B68BF">
            <w:pPr>
              <w:jc w:val="right"/>
              <w:rPr>
                <w:b/>
                <w:bCs/>
                <w:color w:val="000000"/>
                <w:sz w:val="18"/>
                <w:szCs w:val="18"/>
                <w:lang w:eastAsia="en-GB"/>
              </w:rPr>
            </w:pPr>
            <w:r>
              <w:rPr>
                <w:b/>
                <w:bCs/>
                <w:color w:val="000000"/>
                <w:sz w:val="18"/>
                <w:szCs w:val="18"/>
                <w:lang w:eastAsia="en-GB"/>
              </w:rPr>
              <w:t>(187,832)</w:t>
            </w:r>
          </w:p>
        </w:tc>
        <w:tc>
          <w:tcPr>
            <w:tcW w:w="532" w:type="pct"/>
            <w:tcBorders>
              <w:top w:val="single" w:sz="4" w:space="0" w:color="auto"/>
              <w:left w:val="nil"/>
              <w:bottom w:val="single" w:sz="4" w:space="0" w:color="auto"/>
              <w:right w:val="nil"/>
            </w:tcBorders>
            <w:shd w:val="clear" w:color="auto" w:fill="auto"/>
            <w:noWrap/>
            <w:vAlign w:val="bottom"/>
          </w:tcPr>
          <w:p w14:paraId="567193EC" w14:textId="72E274AA" w:rsidR="000B68BF" w:rsidRPr="00EC690A" w:rsidRDefault="00AE1E1C" w:rsidP="000B68BF">
            <w:pPr>
              <w:jc w:val="right"/>
              <w:rPr>
                <w:b/>
                <w:bCs/>
                <w:color w:val="000000"/>
                <w:sz w:val="18"/>
                <w:szCs w:val="18"/>
                <w:lang w:eastAsia="en-GB"/>
              </w:rPr>
            </w:pPr>
            <w:r>
              <w:rPr>
                <w:b/>
                <w:bCs/>
                <w:color w:val="000000"/>
                <w:sz w:val="18"/>
                <w:szCs w:val="18"/>
                <w:lang w:eastAsia="en-GB"/>
              </w:rPr>
              <w:t>(12,697)</w:t>
            </w:r>
          </w:p>
        </w:tc>
        <w:tc>
          <w:tcPr>
            <w:tcW w:w="592" w:type="pct"/>
            <w:tcBorders>
              <w:top w:val="single" w:sz="4" w:space="0" w:color="auto"/>
              <w:left w:val="nil"/>
              <w:bottom w:val="single" w:sz="4" w:space="0" w:color="auto"/>
              <w:right w:val="nil"/>
            </w:tcBorders>
            <w:shd w:val="clear" w:color="auto" w:fill="auto"/>
            <w:noWrap/>
            <w:vAlign w:val="bottom"/>
          </w:tcPr>
          <w:p w14:paraId="5E44B1E7" w14:textId="0625B839" w:rsidR="000B68BF" w:rsidRPr="00EC690A" w:rsidRDefault="00AE1E1C" w:rsidP="000B68BF">
            <w:pPr>
              <w:jc w:val="right"/>
              <w:rPr>
                <w:b/>
                <w:bCs/>
                <w:color w:val="000000"/>
                <w:sz w:val="18"/>
                <w:szCs w:val="18"/>
                <w:lang w:eastAsia="en-GB"/>
              </w:rPr>
            </w:pPr>
            <w:r>
              <w:rPr>
                <w:b/>
                <w:bCs/>
                <w:color w:val="000000"/>
                <w:sz w:val="18"/>
                <w:szCs w:val="18"/>
                <w:lang w:eastAsia="en-GB"/>
              </w:rPr>
              <w:t>(579,700)</w:t>
            </w:r>
          </w:p>
        </w:tc>
      </w:tr>
      <w:tr w:rsidR="000B68BF" w:rsidRPr="00EC690A" w14:paraId="10DC1D1D" w14:textId="77777777" w:rsidTr="00CE428A">
        <w:trPr>
          <w:trHeight w:val="300"/>
        </w:trPr>
        <w:tc>
          <w:tcPr>
            <w:tcW w:w="1375" w:type="pct"/>
            <w:tcBorders>
              <w:top w:val="nil"/>
              <w:left w:val="nil"/>
              <w:bottom w:val="nil"/>
              <w:right w:val="nil"/>
            </w:tcBorders>
            <w:shd w:val="clear" w:color="auto" w:fill="auto"/>
            <w:noWrap/>
            <w:vAlign w:val="bottom"/>
            <w:hideMark/>
          </w:tcPr>
          <w:p w14:paraId="546B4D15" w14:textId="77777777" w:rsidR="000B68BF" w:rsidRPr="00EC690A" w:rsidRDefault="000B68BF" w:rsidP="000B68BF">
            <w:pPr>
              <w:rPr>
                <w:color w:val="000000"/>
                <w:sz w:val="18"/>
                <w:szCs w:val="18"/>
                <w:lang w:eastAsia="en-GB"/>
              </w:rPr>
            </w:pPr>
          </w:p>
        </w:tc>
        <w:tc>
          <w:tcPr>
            <w:tcW w:w="593" w:type="pct"/>
            <w:tcBorders>
              <w:top w:val="nil"/>
              <w:left w:val="nil"/>
              <w:bottom w:val="nil"/>
              <w:right w:val="nil"/>
            </w:tcBorders>
            <w:shd w:val="clear" w:color="auto" w:fill="auto"/>
            <w:noWrap/>
            <w:vAlign w:val="bottom"/>
          </w:tcPr>
          <w:p w14:paraId="337900C9"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441FF6E9" w14:textId="77777777" w:rsidR="000B68BF" w:rsidRPr="00EC690A" w:rsidRDefault="000B68BF" w:rsidP="000B68BF">
            <w:pPr>
              <w:rPr>
                <w:color w:val="000000"/>
                <w:sz w:val="18"/>
                <w:szCs w:val="18"/>
                <w:lang w:eastAsia="en-GB"/>
              </w:rPr>
            </w:pPr>
          </w:p>
        </w:tc>
        <w:tc>
          <w:tcPr>
            <w:tcW w:w="724" w:type="pct"/>
            <w:tcBorders>
              <w:top w:val="nil"/>
              <w:left w:val="nil"/>
              <w:bottom w:val="nil"/>
              <w:right w:val="nil"/>
            </w:tcBorders>
            <w:shd w:val="clear" w:color="auto" w:fill="auto"/>
            <w:noWrap/>
            <w:vAlign w:val="bottom"/>
          </w:tcPr>
          <w:p w14:paraId="195024F5"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32A69C74" w14:textId="77777777" w:rsidR="000B68BF" w:rsidRPr="00EC690A" w:rsidRDefault="000B68BF" w:rsidP="000B68BF">
            <w:pPr>
              <w:rPr>
                <w:color w:val="000000"/>
                <w:sz w:val="18"/>
                <w:szCs w:val="18"/>
                <w:lang w:eastAsia="en-GB"/>
              </w:rPr>
            </w:pPr>
          </w:p>
        </w:tc>
        <w:tc>
          <w:tcPr>
            <w:tcW w:w="532" w:type="pct"/>
            <w:tcBorders>
              <w:top w:val="nil"/>
              <w:left w:val="nil"/>
              <w:bottom w:val="nil"/>
              <w:right w:val="nil"/>
            </w:tcBorders>
            <w:shd w:val="clear" w:color="auto" w:fill="auto"/>
            <w:noWrap/>
            <w:vAlign w:val="bottom"/>
          </w:tcPr>
          <w:p w14:paraId="3CCCD2A0" w14:textId="77777777" w:rsidR="000B68BF" w:rsidRPr="00EC690A" w:rsidRDefault="000B68BF" w:rsidP="000B68BF">
            <w:pPr>
              <w:rPr>
                <w:color w:val="000000"/>
                <w:sz w:val="18"/>
                <w:szCs w:val="18"/>
                <w:lang w:eastAsia="en-GB"/>
              </w:rPr>
            </w:pPr>
          </w:p>
        </w:tc>
        <w:tc>
          <w:tcPr>
            <w:tcW w:w="592" w:type="pct"/>
            <w:tcBorders>
              <w:top w:val="nil"/>
              <w:left w:val="nil"/>
              <w:bottom w:val="nil"/>
              <w:right w:val="nil"/>
            </w:tcBorders>
            <w:shd w:val="clear" w:color="auto" w:fill="auto"/>
            <w:noWrap/>
            <w:vAlign w:val="bottom"/>
          </w:tcPr>
          <w:p w14:paraId="18B91EB7" w14:textId="77777777" w:rsidR="000B68BF" w:rsidRPr="00EC690A" w:rsidRDefault="000B68BF" w:rsidP="000B68BF">
            <w:pPr>
              <w:rPr>
                <w:b/>
                <w:bCs/>
                <w:color w:val="000000"/>
                <w:sz w:val="18"/>
                <w:szCs w:val="18"/>
                <w:lang w:eastAsia="en-GB"/>
              </w:rPr>
            </w:pPr>
          </w:p>
        </w:tc>
      </w:tr>
      <w:tr w:rsidR="000B68BF" w:rsidRPr="00EC690A" w14:paraId="52BF9B1C" w14:textId="77777777" w:rsidTr="00CE428A">
        <w:trPr>
          <w:trHeight w:val="300"/>
        </w:trPr>
        <w:tc>
          <w:tcPr>
            <w:tcW w:w="1375" w:type="pct"/>
            <w:tcBorders>
              <w:top w:val="nil"/>
              <w:left w:val="nil"/>
              <w:bottom w:val="nil"/>
              <w:right w:val="nil"/>
            </w:tcBorders>
            <w:shd w:val="clear" w:color="auto" w:fill="auto"/>
            <w:noWrap/>
            <w:vAlign w:val="bottom"/>
            <w:hideMark/>
          </w:tcPr>
          <w:p w14:paraId="675591B6" w14:textId="77777777" w:rsidR="000B68BF" w:rsidRPr="00EC690A" w:rsidRDefault="000B68BF" w:rsidP="000B68BF">
            <w:pPr>
              <w:rPr>
                <w:b/>
                <w:bCs/>
                <w:color w:val="000000"/>
                <w:sz w:val="18"/>
                <w:szCs w:val="18"/>
                <w:lang w:eastAsia="en-GB"/>
              </w:rPr>
            </w:pPr>
            <w:r w:rsidRPr="00EC690A">
              <w:rPr>
                <w:b/>
                <w:bCs/>
                <w:color w:val="000000"/>
                <w:sz w:val="18"/>
                <w:szCs w:val="18"/>
                <w:lang w:eastAsia="en-GB"/>
              </w:rPr>
              <w:t>Net book value</w:t>
            </w:r>
          </w:p>
        </w:tc>
        <w:tc>
          <w:tcPr>
            <w:tcW w:w="593" w:type="pct"/>
            <w:tcBorders>
              <w:top w:val="nil"/>
              <w:left w:val="nil"/>
              <w:bottom w:val="nil"/>
              <w:right w:val="nil"/>
            </w:tcBorders>
            <w:shd w:val="clear" w:color="auto" w:fill="auto"/>
            <w:noWrap/>
            <w:vAlign w:val="bottom"/>
          </w:tcPr>
          <w:p w14:paraId="58C3EB73" w14:textId="77777777" w:rsidR="000B68BF" w:rsidRPr="00EC690A" w:rsidRDefault="000B68BF" w:rsidP="000B68BF">
            <w:pPr>
              <w:rPr>
                <w:b/>
                <w:bCs/>
                <w:color w:val="000000"/>
                <w:sz w:val="18"/>
                <w:szCs w:val="18"/>
                <w:lang w:eastAsia="en-GB"/>
              </w:rPr>
            </w:pPr>
          </w:p>
        </w:tc>
        <w:tc>
          <w:tcPr>
            <w:tcW w:w="592" w:type="pct"/>
            <w:tcBorders>
              <w:top w:val="nil"/>
              <w:left w:val="nil"/>
              <w:bottom w:val="nil"/>
              <w:right w:val="nil"/>
            </w:tcBorders>
            <w:shd w:val="clear" w:color="auto" w:fill="auto"/>
            <w:noWrap/>
            <w:vAlign w:val="bottom"/>
          </w:tcPr>
          <w:p w14:paraId="6F2C900A" w14:textId="77777777" w:rsidR="000B68BF" w:rsidRPr="00EC690A" w:rsidRDefault="000B68BF" w:rsidP="000B68BF">
            <w:pPr>
              <w:rPr>
                <w:b/>
                <w:bCs/>
                <w:color w:val="000000"/>
                <w:sz w:val="18"/>
                <w:szCs w:val="18"/>
                <w:lang w:eastAsia="en-GB"/>
              </w:rPr>
            </w:pPr>
          </w:p>
        </w:tc>
        <w:tc>
          <w:tcPr>
            <w:tcW w:w="724" w:type="pct"/>
            <w:tcBorders>
              <w:top w:val="nil"/>
              <w:left w:val="nil"/>
              <w:bottom w:val="nil"/>
              <w:right w:val="nil"/>
            </w:tcBorders>
            <w:shd w:val="clear" w:color="auto" w:fill="auto"/>
            <w:noWrap/>
            <w:vAlign w:val="bottom"/>
          </w:tcPr>
          <w:p w14:paraId="1B9EB3BD" w14:textId="77777777" w:rsidR="000B68BF" w:rsidRPr="00EC690A" w:rsidRDefault="000B68BF" w:rsidP="000B68BF">
            <w:pPr>
              <w:rPr>
                <w:b/>
                <w:bCs/>
                <w:color w:val="000000"/>
                <w:sz w:val="18"/>
                <w:szCs w:val="18"/>
                <w:lang w:eastAsia="en-GB"/>
              </w:rPr>
            </w:pPr>
          </w:p>
        </w:tc>
        <w:tc>
          <w:tcPr>
            <w:tcW w:w="592" w:type="pct"/>
            <w:tcBorders>
              <w:top w:val="nil"/>
              <w:left w:val="nil"/>
              <w:bottom w:val="nil"/>
              <w:right w:val="nil"/>
            </w:tcBorders>
            <w:shd w:val="clear" w:color="auto" w:fill="auto"/>
            <w:noWrap/>
            <w:vAlign w:val="bottom"/>
          </w:tcPr>
          <w:p w14:paraId="326226EA" w14:textId="77777777" w:rsidR="000B68BF" w:rsidRPr="00EC690A" w:rsidRDefault="000B68BF" w:rsidP="000B68BF">
            <w:pPr>
              <w:rPr>
                <w:b/>
                <w:bCs/>
                <w:color w:val="000000"/>
                <w:sz w:val="18"/>
                <w:szCs w:val="18"/>
                <w:lang w:eastAsia="en-GB"/>
              </w:rPr>
            </w:pPr>
          </w:p>
        </w:tc>
        <w:tc>
          <w:tcPr>
            <w:tcW w:w="532" w:type="pct"/>
            <w:tcBorders>
              <w:top w:val="nil"/>
              <w:left w:val="nil"/>
              <w:bottom w:val="nil"/>
              <w:right w:val="nil"/>
            </w:tcBorders>
            <w:shd w:val="clear" w:color="auto" w:fill="auto"/>
            <w:noWrap/>
            <w:vAlign w:val="bottom"/>
          </w:tcPr>
          <w:p w14:paraId="7A7B9CE5" w14:textId="77777777" w:rsidR="000B68BF" w:rsidRPr="00EC690A" w:rsidRDefault="000B68BF" w:rsidP="000B68BF">
            <w:pPr>
              <w:rPr>
                <w:b/>
                <w:bCs/>
                <w:color w:val="000000"/>
                <w:sz w:val="18"/>
                <w:szCs w:val="18"/>
                <w:lang w:eastAsia="en-GB"/>
              </w:rPr>
            </w:pPr>
          </w:p>
        </w:tc>
        <w:tc>
          <w:tcPr>
            <w:tcW w:w="592" w:type="pct"/>
            <w:tcBorders>
              <w:top w:val="nil"/>
              <w:left w:val="nil"/>
              <w:bottom w:val="nil"/>
              <w:right w:val="nil"/>
            </w:tcBorders>
            <w:shd w:val="clear" w:color="auto" w:fill="auto"/>
            <w:noWrap/>
            <w:vAlign w:val="bottom"/>
          </w:tcPr>
          <w:p w14:paraId="733EFEBD" w14:textId="77777777" w:rsidR="000B68BF" w:rsidRPr="00EC690A" w:rsidRDefault="000B68BF" w:rsidP="000B68BF">
            <w:pPr>
              <w:rPr>
                <w:b/>
                <w:bCs/>
                <w:color w:val="000000"/>
                <w:sz w:val="18"/>
                <w:szCs w:val="18"/>
                <w:lang w:eastAsia="en-GB"/>
              </w:rPr>
            </w:pPr>
          </w:p>
        </w:tc>
      </w:tr>
      <w:tr w:rsidR="000B68BF" w:rsidRPr="00EC690A" w14:paraId="2F4BFA46" w14:textId="77777777" w:rsidTr="00CE428A">
        <w:trPr>
          <w:trHeight w:val="300"/>
        </w:trPr>
        <w:tc>
          <w:tcPr>
            <w:tcW w:w="1375" w:type="pct"/>
            <w:tcBorders>
              <w:top w:val="single" w:sz="4" w:space="0" w:color="auto"/>
              <w:left w:val="nil"/>
              <w:bottom w:val="single" w:sz="4" w:space="0" w:color="auto"/>
              <w:right w:val="nil"/>
            </w:tcBorders>
            <w:shd w:val="clear" w:color="auto" w:fill="auto"/>
            <w:noWrap/>
            <w:vAlign w:val="bottom"/>
            <w:hideMark/>
          </w:tcPr>
          <w:p w14:paraId="1BAE6428" w14:textId="661891CC" w:rsidR="000B68BF" w:rsidRPr="00EC690A" w:rsidRDefault="000B68BF" w:rsidP="000B68BF">
            <w:pPr>
              <w:rPr>
                <w:b/>
                <w:bCs/>
                <w:color w:val="000000"/>
                <w:sz w:val="18"/>
                <w:szCs w:val="18"/>
                <w:lang w:eastAsia="en-GB"/>
              </w:rPr>
            </w:pPr>
            <w:r w:rsidRPr="00EC690A">
              <w:rPr>
                <w:b/>
                <w:bCs/>
                <w:color w:val="000000"/>
                <w:sz w:val="18"/>
                <w:szCs w:val="18"/>
                <w:lang w:eastAsia="en-GB"/>
              </w:rPr>
              <w:t>31 December 201</w:t>
            </w:r>
            <w:r w:rsidR="003B733B">
              <w:rPr>
                <w:b/>
                <w:bCs/>
                <w:color w:val="000000"/>
                <w:sz w:val="18"/>
                <w:szCs w:val="18"/>
                <w:lang w:eastAsia="en-GB"/>
              </w:rPr>
              <w:t>7</w:t>
            </w:r>
          </w:p>
        </w:tc>
        <w:tc>
          <w:tcPr>
            <w:tcW w:w="593" w:type="pct"/>
            <w:tcBorders>
              <w:top w:val="single" w:sz="4" w:space="0" w:color="auto"/>
              <w:left w:val="nil"/>
              <w:bottom w:val="single" w:sz="4" w:space="0" w:color="auto"/>
              <w:right w:val="nil"/>
            </w:tcBorders>
            <w:shd w:val="clear" w:color="auto" w:fill="auto"/>
            <w:noWrap/>
            <w:vAlign w:val="bottom"/>
          </w:tcPr>
          <w:p w14:paraId="0C4503FD" w14:textId="65231157" w:rsidR="000B68BF" w:rsidRPr="00EC690A" w:rsidRDefault="00AE1E1C" w:rsidP="000B68BF">
            <w:pPr>
              <w:jc w:val="right"/>
              <w:rPr>
                <w:b/>
                <w:bCs/>
                <w:color w:val="000000"/>
                <w:sz w:val="18"/>
                <w:szCs w:val="18"/>
                <w:lang w:eastAsia="en-GB"/>
              </w:rPr>
            </w:pPr>
            <w:r>
              <w:rPr>
                <w:b/>
                <w:bCs/>
                <w:color w:val="000000"/>
                <w:sz w:val="18"/>
                <w:szCs w:val="18"/>
                <w:lang w:eastAsia="en-GB"/>
              </w:rPr>
              <w:t>215,512</w:t>
            </w:r>
          </w:p>
        </w:tc>
        <w:tc>
          <w:tcPr>
            <w:tcW w:w="592" w:type="pct"/>
            <w:tcBorders>
              <w:top w:val="single" w:sz="4" w:space="0" w:color="auto"/>
              <w:left w:val="nil"/>
              <w:bottom w:val="single" w:sz="4" w:space="0" w:color="auto"/>
              <w:right w:val="nil"/>
            </w:tcBorders>
            <w:shd w:val="clear" w:color="auto" w:fill="auto"/>
            <w:noWrap/>
            <w:vAlign w:val="bottom"/>
          </w:tcPr>
          <w:p w14:paraId="4EB6AFE4" w14:textId="7A8F18C1" w:rsidR="000B68BF" w:rsidRPr="00EC690A" w:rsidRDefault="00AE1E1C" w:rsidP="000B68BF">
            <w:pPr>
              <w:jc w:val="right"/>
              <w:rPr>
                <w:b/>
                <w:bCs/>
                <w:color w:val="000000"/>
                <w:sz w:val="18"/>
                <w:szCs w:val="18"/>
                <w:lang w:eastAsia="en-GB"/>
              </w:rPr>
            </w:pPr>
            <w:r>
              <w:rPr>
                <w:b/>
                <w:bCs/>
                <w:color w:val="000000"/>
                <w:sz w:val="18"/>
                <w:szCs w:val="18"/>
                <w:lang w:eastAsia="en-GB"/>
              </w:rPr>
              <w:t>5,816</w:t>
            </w:r>
          </w:p>
        </w:tc>
        <w:tc>
          <w:tcPr>
            <w:tcW w:w="724" w:type="pct"/>
            <w:tcBorders>
              <w:top w:val="single" w:sz="4" w:space="0" w:color="auto"/>
              <w:left w:val="nil"/>
              <w:bottom w:val="single" w:sz="4" w:space="0" w:color="auto"/>
              <w:right w:val="nil"/>
            </w:tcBorders>
            <w:shd w:val="clear" w:color="auto" w:fill="auto"/>
            <w:noWrap/>
            <w:vAlign w:val="bottom"/>
          </w:tcPr>
          <w:p w14:paraId="51869365" w14:textId="62EE210C" w:rsidR="000B68BF" w:rsidRPr="00EC690A" w:rsidRDefault="00AE1E1C" w:rsidP="000B68BF">
            <w:pPr>
              <w:jc w:val="right"/>
              <w:rPr>
                <w:b/>
                <w:bCs/>
                <w:color w:val="000000"/>
                <w:sz w:val="18"/>
                <w:szCs w:val="18"/>
                <w:lang w:eastAsia="en-GB"/>
              </w:rPr>
            </w:pPr>
            <w:r>
              <w:rPr>
                <w:b/>
                <w:bCs/>
                <w:color w:val="000000"/>
                <w:sz w:val="18"/>
                <w:szCs w:val="18"/>
                <w:lang w:eastAsia="en-GB"/>
              </w:rPr>
              <w:t>29,032</w:t>
            </w:r>
          </w:p>
        </w:tc>
        <w:tc>
          <w:tcPr>
            <w:tcW w:w="592" w:type="pct"/>
            <w:tcBorders>
              <w:top w:val="single" w:sz="4" w:space="0" w:color="auto"/>
              <w:left w:val="nil"/>
              <w:bottom w:val="single" w:sz="4" w:space="0" w:color="auto"/>
              <w:right w:val="nil"/>
            </w:tcBorders>
            <w:shd w:val="clear" w:color="auto" w:fill="auto"/>
            <w:noWrap/>
            <w:vAlign w:val="bottom"/>
          </w:tcPr>
          <w:p w14:paraId="32D1742A" w14:textId="2999E1C3" w:rsidR="000B68BF" w:rsidRPr="00EC690A" w:rsidRDefault="00AE1E1C" w:rsidP="000B68BF">
            <w:pPr>
              <w:jc w:val="right"/>
              <w:rPr>
                <w:b/>
                <w:bCs/>
                <w:color w:val="000000"/>
                <w:sz w:val="18"/>
                <w:szCs w:val="18"/>
                <w:lang w:eastAsia="en-GB"/>
              </w:rPr>
            </w:pPr>
            <w:r>
              <w:rPr>
                <w:b/>
                <w:bCs/>
                <w:color w:val="000000"/>
                <w:sz w:val="18"/>
                <w:szCs w:val="18"/>
                <w:lang w:eastAsia="en-GB"/>
              </w:rPr>
              <w:t>61,452</w:t>
            </w:r>
          </w:p>
        </w:tc>
        <w:tc>
          <w:tcPr>
            <w:tcW w:w="532" w:type="pct"/>
            <w:tcBorders>
              <w:top w:val="single" w:sz="4" w:space="0" w:color="auto"/>
              <w:left w:val="nil"/>
              <w:bottom w:val="single" w:sz="4" w:space="0" w:color="auto"/>
              <w:right w:val="nil"/>
            </w:tcBorders>
            <w:shd w:val="clear" w:color="auto" w:fill="auto"/>
            <w:noWrap/>
            <w:vAlign w:val="bottom"/>
          </w:tcPr>
          <w:p w14:paraId="28624D5F" w14:textId="0482FCD5" w:rsidR="000B68BF" w:rsidRPr="00EC690A" w:rsidRDefault="00397980" w:rsidP="000B68BF">
            <w:pPr>
              <w:jc w:val="right"/>
              <w:rPr>
                <w:b/>
                <w:bCs/>
                <w:color w:val="000000"/>
                <w:sz w:val="18"/>
                <w:szCs w:val="18"/>
                <w:lang w:eastAsia="en-GB"/>
              </w:rPr>
            </w:pPr>
            <w:r>
              <w:rPr>
                <w:b/>
                <w:bCs/>
                <w:color w:val="000000"/>
                <w:sz w:val="18"/>
                <w:szCs w:val="18"/>
                <w:lang w:eastAsia="en-GB"/>
              </w:rPr>
              <w:t>-</w:t>
            </w:r>
          </w:p>
        </w:tc>
        <w:tc>
          <w:tcPr>
            <w:tcW w:w="592" w:type="pct"/>
            <w:tcBorders>
              <w:top w:val="single" w:sz="4" w:space="0" w:color="auto"/>
              <w:left w:val="nil"/>
              <w:bottom w:val="single" w:sz="4" w:space="0" w:color="auto"/>
              <w:right w:val="nil"/>
            </w:tcBorders>
            <w:shd w:val="clear" w:color="auto" w:fill="auto"/>
            <w:noWrap/>
            <w:vAlign w:val="bottom"/>
          </w:tcPr>
          <w:p w14:paraId="5E3EEE61" w14:textId="1E874645" w:rsidR="000B68BF" w:rsidRPr="00EC690A" w:rsidRDefault="00CE428A" w:rsidP="000B68BF">
            <w:pPr>
              <w:jc w:val="right"/>
              <w:rPr>
                <w:b/>
                <w:bCs/>
                <w:color w:val="000000"/>
                <w:sz w:val="18"/>
                <w:szCs w:val="18"/>
                <w:lang w:eastAsia="en-GB"/>
              </w:rPr>
            </w:pPr>
            <w:r>
              <w:rPr>
                <w:b/>
                <w:bCs/>
                <w:color w:val="000000"/>
                <w:sz w:val="18"/>
                <w:szCs w:val="18"/>
                <w:lang w:eastAsia="en-GB"/>
              </w:rPr>
              <w:t>311,812</w:t>
            </w:r>
          </w:p>
        </w:tc>
      </w:tr>
      <w:tr w:rsidR="000B68BF" w:rsidRPr="00EC690A" w14:paraId="389CD271" w14:textId="77777777" w:rsidTr="00CE428A">
        <w:trPr>
          <w:trHeight w:val="297"/>
        </w:trPr>
        <w:tc>
          <w:tcPr>
            <w:tcW w:w="1375" w:type="pct"/>
            <w:tcBorders>
              <w:top w:val="nil"/>
              <w:left w:val="nil"/>
              <w:bottom w:val="double" w:sz="6" w:space="0" w:color="auto"/>
              <w:right w:val="nil"/>
            </w:tcBorders>
            <w:shd w:val="clear" w:color="auto" w:fill="auto"/>
            <w:noWrap/>
            <w:vAlign w:val="bottom"/>
            <w:hideMark/>
          </w:tcPr>
          <w:p w14:paraId="10CD0CA6" w14:textId="52618243" w:rsidR="000B68BF" w:rsidRPr="00EC690A" w:rsidRDefault="000B68BF" w:rsidP="000B68BF">
            <w:pPr>
              <w:rPr>
                <w:b/>
                <w:bCs/>
                <w:color w:val="000000"/>
                <w:sz w:val="18"/>
                <w:szCs w:val="18"/>
                <w:lang w:eastAsia="en-GB"/>
              </w:rPr>
            </w:pPr>
            <w:r w:rsidRPr="00EC690A">
              <w:rPr>
                <w:b/>
                <w:bCs/>
                <w:color w:val="000000"/>
                <w:sz w:val="18"/>
                <w:szCs w:val="18"/>
                <w:lang w:eastAsia="en-GB"/>
              </w:rPr>
              <w:t>31 December 201</w:t>
            </w:r>
            <w:r w:rsidR="00397980">
              <w:rPr>
                <w:b/>
                <w:bCs/>
                <w:color w:val="000000"/>
                <w:sz w:val="18"/>
                <w:szCs w:val="18"/>
                <w:lang w:eastAsia="en-GB"/>
              </w:rPr>
              <w:t>8</w:t>
            </w:r>
          </w:p>
        </w:tc>
        <w:tc>
          <w:tcPr>
            <w:tcW w:w="593" w:type="pct"/>
            <w:tcBorders>
              <w:top w:val="nil"/>
              <w:left w:val="nil"/>
              <w:bottom w:val="double" w:sz="6" w:space="0" w:color="auto"/>
              <w:right w:val="nil"/>
            </w:tcBorders>
            <w:shd w:val="clear" w:color="auto" w:fill="auto"/>
            <w:noWrap/>
            <w:vAlign w:val="bottom"/>
          </w:tcPr>
          <w:p w14:paraId="256AFF25" w14:textId="30B70958" w:rsidR="000B68BF" w:rsidRPr="00EC690A" w:rsidRDefault="00AE1E1C" w:rsidP="000B68BF">
            <w:pPr>
              <w:jc w:val="right"/>
              <w:rPr>
                <w:b/>
                <w:bCs/>
                <w:color w:val="000000"/>
                <w:sz w:val="18"/>
                <w:szCs w:val="18"/>
                <w:lang w:eastAsia="en-GB"/>
              </w:rPr>
            </w:pPr>
            <w:r>
              <w:rPr>
                <w:b/>
                <w:bCs/>
                <w:color w:val="000000"/>
                <w:sz w:val="18"/>
                <w:szCs w:val="18"/>
                <w:lang w:eastAsia="en-GB"/>
              </w:rPr>
              <w:t>193,429</w:t>
            </w:r>
          </w:p>
        </w:tc>
        <w:tc>
          <w:tcPr>
            <w:tcW w:w="592" w:type="pct"/>
            <w:tcBorders>
              <w:top w:val="nil"/>
              <w:left w:val="nil"/>
              <w:bottom w:val="double" w:sz="6" w:space="0" w:color="auto"/>
              <w:right w:val="nil"/>
            </w:tcBorders>
            <w:shd w:val="clear" w:color="auto" w:fill="auto"/>
            <w:noWrap/>
            <w:vAlign w:val="bottom"/>
          </w:tcPr>
          <w:p w14:paraId="14CAE2D2" w14:textId="03F2199E" w:rsidR="000B68BF" w:rsidRPr="00EC690A" w:rsidRDefault="00AE1E1C" w:rsidP="000B68BF">
            <w:pPr>
              <w:jc w:val="right"/>
              <w:rPr>
                <w:b/>
                <w:bCs/>
                <w:color w:val="000000"/>
                <w:sz w:val="18"/>
                <w:szCs w:val="18"/>
                <w:lang w:eastAsia="en-GB"/>
              </w:rPr>
            </w:pPr>
            <w:r>
              <w:rPr>
                <w:b/>
                <w:bCs/>
                <w:color w:val="000000"/>
                <w:sz w:val="18"/>
                <w:szCs w:val="18"/>
                <w:lang w:eastAsia="en-GB"/>
              </w:rPr>
              <w:t>3,828</w:t>
            </w:r>
          </w:p>
        </w:tc>
        <w:tc>
          <w:tcPr>
            <w:tcW w:w="724" w:type="pct"/>
            <w:tcBorders>
              <w:top w:val="nil"/>
              <w:left w:val="nil"/>
              <w:bottom w:val="double" w:sz="6" w:space="0" w:color="auto"/>
              <w:right w:val="nil"/>
            </w:tcBorders>
            <w:shd w:val="clear" w:color="auto" w:fill="auto"/>
            <w:noWrap/>
            <w:vAlign w:val="bottom"/>
          </w:tcPr>
          <w:p w14:paraId="466C447E" w14:textId="633217E0" w:rsidR="000B68BF" w:rsidRPr="00EC690A" w:rsidRDefault="00AE1E1C" w:rsidP="000B68BF">
            <w:pPr>
              <w:jc w:val="right"/>
              <w:rPr>
                <w:b/>
                <w:bCs/>
                <w:color w:val="000000"/>
                <w:sz w:val="18"/>
                <w:szCs w:val="18"/>
                <w:lang w:eastAsia="en-GB"/>
              </w:rPr>
            </w:pPr>
            <w:r>
              <w:rPr>
                <w:b/>
                <w:bCs/>
                <w:color w:val="000000"/>
                <w:sz w:val="18"/>
                <w:szCs w:val="18"/>
                <w:lang w:eastAsia="en-GB"/>
              </w:rPr>
              <w:t>26,005</w:t>
            </w:r>
          </w:p>
        </w:tc>
        <w:tc>
          <w:tcPr>
            <w:tcW w:w="592" w:type="pct"/>
            <w:tcBorders>
              <w:top w:val="nil"/>
              <w:left w:val="nil"/>
              <w:bottom w:val="double" w:sz="6" w:space="0" w:color="auto"/>
              <w:right w:val="nil"/>
            </w:tcBorders>
            <w:shd w:val="clear" w:color="auto" w:fill="auto"/>
            <w:noWrap/>
            <w:vAlign w:val="bottom"/>
          </w:tcPr>
          <w:p w14:paraId="428C6413" w14:textId="4D404AB7" w:rsidR="000B68BF" w:rsidRPr="00EC690A" w:rsidRDefault="00AE1E1C" w:rsidP="000B68BF">
            <w:pPr>
              <w:jc w:val="right"/>
              <w:rPr>
                <w:b/>
                <w:bCs/>
                <w:color w:val="000000"/>
                <w:sz w:val="18"/>
                <w:szCs w:val="18"/>
                <w:lang w:eastAsia="en-GB"/>
              </w:rPr>
            </w:pPr>
            <w:r>
              <w:rPr>
                <w:b/>
                <w:bCs/>
                <w:color w:val="000000"/>
                <w:sz w:val="18"/>
                <w:szCs w:val="18"/>
                <w:lang w:eastAsia="en-GB"/>
              </w:rPr>
              <w:t>36,579</w:t>
            </w:r>
          </w:p>
        </w:tc>
        <w:tc>
          <w:tcPr>
            <w:tcW w:w="532" w:type="pct"/>
            <w:tcBorders>
              <w:top w:val="nil"/>
              <w:left w:val="nil"/>
              <w:bottom w:val="double" w:sz="6" w:space="0" w:color="auto"/>
              <w:right w:val="nil"/>
            </w:tcBorders>
            <w:shd w:val="clear" w:color="auto" w:fill="auto"/>
            <w:noWrap/>
            <w:vAlign w:val="bottom"/>
          </w:tcPr>
          <w:p w14:paraId="1EE7FFA0" w14:textId="302A2251" w:rsidR="000B68BF" w:rsidRPr="00EC690A" w:rsidRDefault="00397980" w:rsidP="000B68BF">
            <w:pPr>
              <w:jc w:val="right"/>
              <w:rPr>
                <w:b/>
                <w:bCs/>
                <w:color w:val="000000"/>
                <w:sz w:val="18"/>
                <w:szCs w:val="18"/>
                <w:lang w:eastAsia="en-GB"/>
              </w:rPr>
            </w:pPr>
            <w:r>
              <w:rPr>
                <w:b/>
                <w:bCs/>
                <w:color w:val="000000"/>
                <w:sz w:val="18"/>
                <w:szCs w:val="18"/>
                <w:lang w:eastAsia="en-GB"/>
              </w:rPr>
              <w:t>-</w:t>
            </w:r>
          </w:p>
        </w:tc>
        <w:tc>
          <w:tcPr>
            <w:tcW w:w="592" w:type="pct"/>
            <w:tcBorders>
              <w:top w:val="nil"/>
              <w:left w:val="nil"/>
              <w:bottom w:val="double" w:sz="6" w:space="0" w:color="auto"/>
              <w:right w:val="nil"/>
            </w:tcBorders>
            <w:shd w:val="clear" w:color="auto" w:fill="auto"/>
            <w:noWrap/>
            <w:vAlign w:val="bottom"/>
          </w:tcPr>
          <w:p w14:paraId="454664FB" w14:textId="5B071053" w:rsidR="000B68BF" w:rsidRPr="00EC690A" w:rsidRDefault="00397980" w:rsidP="000B68BF">
            <w:pPr>
              <w:jc w:val="right"/>
              <w:rPr>
                <w:b/>
                <w:bCs/>
                <w:color w:val="000000"/>
                <w:sz w:val="18"/>
                <w:szCs w:val="18"/>
                <w:lang w:eastAsia="en-GB"/>
              </w:rPr>
            </w:pPr>
            <w:r>
              <w:rPr>
                <w:b/>
                <w:bCs/>
                <w:color w:val="000000"/>
                <w:sz w:val="18"/>
                <w:szCs w:val="18"/>
                <w:lang w:eastAsia="en-GB"/>
              </w:rPr>
              <w:t>259,841</w:t>
            </w:r>
          </w:p>
        </w:tc>
      </w:tr>
    </w:tbl>
    <w:p w14:paraId="60483F5E" w14:textId="7314360E" w:rsidR="003B733B" w:rsidRPr="00EC690A" w:rsidRDefault="003B733B" w:rsidP="003B733B">
      <w:pPr>
        <w:spacing w:before="120" w:after="120"/>
        <w:jc w:val="both"/>
        <w:rPr>
          <w:sz w:val="18"/>
          <w:szCs w:val="18"/>
        </w:rPr>
      </w:pPr>
      <w:r w:rsidRPr="00EC690A">
        <w:rPr>
          <w:sz w:val="18"/>
          <w:szCs w:val="18"/>
        </w:rPr>
        <w:t xml:space="preserve">The management </w:t>
      </w:r>
      <w:r>
        <w:rPr>
          <w:sz w:val="18"/>
          <w:szCs w:val="18"/>
        </w:rPr>
        <w:t>believes that carrying value of the</w:t>
      </w:r>
      <w:r w:rsidRPr="00EC690A">
        <w:rPr>
          <w:sz w:val="18"/>
          <w:szCs w:val="18"/>
        </w:rPr>
        <w:t xml:space="preserve"> buildings </w:t>
      </w:r>
      <w:r>
        <w:rPr>
          <w:sz w:val="18"/>
          <w:szCs w:val="18"/>
        </w:rPr>
        <w:t xml:space="preserve">is approximately the same as its revalued amount </w:t>
      </w:r>
      <w:r w:rsidRPr="00EC690A">
        <w:rPr>
          <w:sz w:val="18"/>
          <w:szCs w:val="18"/>
        </w:rPr>
        <w:t>as of 31 December 201</w:t>
      </w:r>
      <w:r>
        <w:rPr>
          <w:sz w:val="18"/>
          <w:szCs w:val="18"/>
        </w:rPr>
        <w:t>9</w:t>
      </w:r>
      <w:r w:rsidRPr="00EC690A">
        <w:rPr>
          <w:sz w:val="18"/>
          <w:szCs w:val="18"/>
        </w:rPr>
        <w:t xml:space="preserve"> and 201</w:t>
      </w:r>
      <w:r>
        <w:rPr>
          <w:sz w:val="18"/>
          <w:szCs w:val="18"/>
        </w:rPr>
        <w:t>8</w:t>
      </w:r>
      <w:r w:rsidRPr="00EC690A">
        <w:rPr>
          <w:sz w:val="18"/>
          <w:szCs w:val="18"/>
        </w:rPr>
        <w:t>.</w:t>
      </w:r>
    </w:p>
    <w:p w14:paraId="4EB3DA1B" w14:textId="2409A8C9" w:rsidR="003B733B" w:rsidRDefault="003B733B" w:rsidP="003B733B">
      <w:pPr>
        <w:spacing w:before="120" w:after="120"/>
        <w:jc w:val="both"/>
        <w:rPr>
          <w:sz w:val="18"/>
          <w:szCs w:val="18"/>
        </w:rPr>
      </w:pPr>
      <w:r w:rsidRPr="00EC690A">
        <w:rPr>
          <w:sz w:val="18"/>
          <w:szCs w:val="18"/>
        </w:rPr>
        <w:lastRenderedPageBreak/>
        <w:t xml:space="preserve">If the buildings were accounted at historical cost restated according to accumulated depreciation and impairment losses, </w:t>
      </w:r>
      <w:proofErr w:type="gramStart"/>
      <w:r w:rsidRPr="00EC690A">
        <w:rPr>
          <w:sz w:val="18"/>
          <w:szCs w:val="18"/>
        </w:rPr>
        <w:t>its</w:t>
      </w:r>
      <w:proofErr w:type="gramEnd"/>
      <w:r w:rsidRPr="00EC690A">
        <w:rPr>
          <w:sz w:val="18"/>
          <w:szCs w:val="18"/>
        </w:rPr>
        <w:t xml:space="preserve"> carrying value would be </w:t>
      </w:r>
      <w:r w:rsidR="00CE428A">
        <w:rPr>
          <w:sz w:val="18"/>
          <w:szCs w:val="18"/>
        </w:rPr>
        <w:t>69</w:t>
      </w:r>
      <w:r w:rsidRPr="00EC690A">
        <w:rPr>
          <w:sz w:val="18"/>
          <w:szCs w:val="18"/>
        </w:rPr>
        <w:t xml:space="preserve"> thousand </w:t>
      </w:r>
      <w:proofErr w:type="spellStart"/>
      <w:r w:rsidRPr="00EC690A">
        <w:rPr>
          <w:sz w:val="18"/>
          <w:szCs w:val="18"/>
        </w:rPr>
        <w:t>manats</w:t>
      </w:r>
      <w:proofErr w:type="spellEnd"/>
      <w:r w:rsidRPr="00EC690A">
        <w:rPr>
          <w:sz w:val="18"/>
          <w:szCs w:val="18"/>
        </w:rPr>
        <w:t xml:space="preserve"> as at 31 December 201</w:t>
      </w:r>
      <w:r w:rsidR="00CE428A">
        <w:rPr>
          <w:sz w:val="18"/>
          <w:szCs w:val="18"/>
        </w:rPr>
        <w:t>9</w:t>
      </w:r>
      <w:r w:rsidRPr="00EC690A">
        <w:rPr>
          <w:sz w:val="18"/>
          <w:szCs w:val="18"/>
        </w:rPr>
        <w:t xml:space="preserve"> and </w:t>
      </w:r>
      <w:r w:rsidR="00CE428A">
        <w:rPr>
          <w:sz w:val="18"/>
          <w:szCs w:val="18"/>
        </w:rPr>
        <w:t>75</w:t>
      </w:r>
      <w:r w:rsidRPr="00EC690A">
        <w:rPr>
          <w:sz w:val="18"/>
          <w:szCs w:val="18"/>
        </w:rPr>
        <w:t xml:space="preserve"> thousand </w:t>
      </w:r>
      <w:proofErr w:type="spellStart"/>
      <w:r w:rsidRPr="00EC690A">
        <w:rPr>
          <w:sz w:val="18"/>
          <w:szCs w:val="18"/>
        </w:rPr>
        <w:t>manats</w:t>
      </w:r>
      <w:proofErr w:type="spellEnd"/>
      <w:r w:rsidRPr="00EC690A">
        <w:rPr>
          <w:sz w:val="18"/>
          <w:szCs w:val="18"/>
        </w:rPr>
        <w:t xml:space="preserve"> as at 31 December 201</w:t>
      </w:r>
      <w:r w:rsidR="00CE428A">
        <w:rPr>
          <w:sz w:val="18"/>
          <w:szCs w:val="18"/>
        </w:rPr>
        <w:t>8</w:t>
      </w:r>
      <w:r w:rsidRPr="00EC690A">
        <w:rPr>
          <w:sz w:val="18"/>
          <w:szCs w:val="18"/>
        </w:rPr>
        <w:t>.</w:t>
      </w:r>
      <w:r w:rsidR="00CE428A">
        <w:rPr>
          <w:sz w:val="18"/>
          <w:szCs w:val="18"/>
        </w:rPr>
        <w:t xml:space="preserve"> The depreciation charge on revalued buildings during the year 2019 was AZN 6,317 (2018: AZN 6,317).</w:t>
      </w:r>
    </w:p>
    <w:p w14:paraId="219CF3F9" w14:textId="10BBE9CF" w:rsidR="00E209F8" w:rsidRDefault="00E209F8" w:rsidP="003B733B">
      <w:pPr>
        <w:spacing w:before="120" w:after="120"/>
        <w:jc w:val="both"/>
        <w:rPr>
          <w:sz w:val="18"/>
          <w:szCs w:val="18"/>
          <w:lang w:val="en-US"/>
        </w:rPr>
      </w:pPr>
      <w:r>
        <w:rPr>
          <w:sz w:val="18"/>
          <w:szCs w:val="18"/>
          <w:lang w:val="en-US"/>
        </w:rPr>
        <w:t>As per 31 December 2019 and 2018 the financial statements of the Company include fully depreciated property and equipment as listed below:</w:t>
      </w:r>
    </w:p>
    <w:tbl>
      <w:tblPr>
        <w:tblW w:w="8789" w:type="dxa"/>
        <w:tblLook w:val="04A0" w:firstRow="1" w:lastRow="0" w:firstColumn="1" w:lastColumn="0" w:noHBand="0" w:noVBand="1"/>
      </w:tblPr>
      <w:tblGrid>
        <w:gridCol w:w="5245"/>
        <w:gridCol w:w="709"/>
        <w:gridCol w:w="1275"/>
        <w:gridCol w:w="1560"/>
      </w:tblGrid>
      <w:tr w:rsidR="00E209F8" w:rsidRPr="00290B01" w14:paraId="771BDFCD" w14:textId="77777777" w:rsidTr="00CD3678">
        <w:trPr>
          <w:trHeight w:val="305"/>
        </w:trPr>
        <w:tc>
          <w:tcPr>
            <w:tcW w:w="5245" w:type="dxa"/>
            <w:tcBorders>
              <w:top w:val="nil"/>
              <w:left w:val="nil"/>
              <w:bottom w:val="single" w:sz="8" w:space="0" w:color="auto"/>
              <w:right w:val="nil"/>
            </w:tcBorders>
            <w:shd w:val="clear" w:color="auto" w:fill="auto"/>
            <w:noWrap/>
            <w:vAlign w:val="center"/>
            <w:hideMark/>
          </w:tcPr>
          <w:p w14:paraId="6EFD7B59" w14:textId="77777777" w:rsidR="00E209F8" w:rsidRPr="00290B01" w:rsidRDefault="00E209F8"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0D71F641" w14:textId="77777777" w:rsidR="00E209F8" w:rsidRPr="00290B01" w:rsidRDefault="00E209F8"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6800C4E6" w14:textId="22C04496" w:rsidR="00E209F8" w:rsidRPr="00703807" w:rsidRDefault="00703807" w:rsidP="00CD3678">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31.12.</w:t>
            </w:r>
            <w:r w:rsidR="00E209F8" w:rsidRPr="00703807">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008E889F" w14:textId="33FBECFA" w:rsidR="00E209F8" w:rsidRPr="00703807" w:rsidRDefault="00703807" w:rsidP="00CD3678">
            <w:pPr>
              <w:jc w:val="right"/>
              <w:rPr>
                <w:rFonts w:eastAsia="Times New Roman" w:cs="Times New Roman"/>
                <w:color w:val="000000"/>
                <w:sz w:val="18"/>
                <w:szCs w:val="18"/>
                <w:lang w:eastAsia="en-GB"/>
              </w:rPr>
            </w:pPr>
            <w:r w:rsidRPr="00703807">
              <w:rPr>
                <w:rFonts w:eastAsia="Times New Roman" w:cs="Times New Roman"/>
                <w:color w:val="000000"/>
                <w:sz w:val="18"/>
                <w:szCs w:val="18"/>
                <w:lang w:eastAsia="en-GB"/>
              </w:rPr>
              <w:t>31.12.</w:t>
            </w:r>
            <w:r w:rsidR="00E209F8" w:rsidRPr="00703807">
              <w:rPr>
                <w:rFonts w:eastAsia="Times New Roman" w:cs="Times New Roman"/>
                <w:color w:val="000000"/>
                <w:sz w:val="18"/>
                <w:szCs w:val="18"/>
                <w:lang w:eastAsia="en-GB"/>
              </w:rPr>
              <w:t>2018</w:t>
            </w:r>
          </w:p>
        </w:tc>
      </w:tr>
      <w:tr w:rsidR="00E209F8" w:rsidRPr="00290B01" w14:paraId="5FD406FF" w14:textId="77777777" w:rsidTr="00E209F8">
        <w:trPr>
          <w:trHeight w:val="288"/>
        </w:trPr>
        <w:tc>
          <w:tcPr>
            <w:tcW w:w="5245" w:type="dxa"/>
            <w:tcBorders>
              <w:top w:val="nil"/>
              <w:left w:val="nil"/>
              <w:bottom w:val="nil"/>
              <w:right w:val="nil"/>
            </w:tcBorders>
            <w:shd w:val="clear" w:color="auto" w:fill="auto"/>
            <w:noWrap/>
            <w:vAlign w:val="bottom"/>
          </w:tcPr>
          <w:p w14:paraId="00844700" w14:textId="27D8A05F" w:rsidR="00E209F8" w:rsidRDefault="00E209F8" w:rsidP="00CD3678">
            <w:pPr>
              <w:rPr>
                <w:rFonts w:eastAsia="Times New Roman" w:cs="Times New Roman"/>
                <w:color w:val="000000"/>
                <w:sz w:val="18"/>
                <w:szCs w:val="18"/>
                <w:lang w:eastAsia="en-GB"/>
              </w:rPr>
            </w:pPr>
            <w:r w:rsidRPr="00E209F8">
              <w:rPr>
                <w:rFonts w:eastAsia="Times New Roman" w:cs="Times New Roman"/>
                <w:color w:val="000000"/>
                <w:sz w:val="18"/>
                <w:szCs w:val="18"/>
                <w:lang w:eastAsia="en-GB"/>
              </w:rPr>
              <w:t>Vehicles</w:t>
            </w:r>
          </w:p>
        </w:tc>
        <w:tc>
          <w:tcPr>
            <w:tcW w:w="709" w:type="dxa"/>
            <w:tcBorders>
              <w:top w:val="nil"/>
              <w:left w:val="nil"/>
              <w:bottom w:val="nil"/>
              <w:right w:val="nil"/>
            </w:tcBorders>
            <w:shd w:val="clear" w:color="auto" w:fill="auto"/>
            <w:noWrap/>
            <w:vAlign w:val="bottom"/>
          </w:tcPr>
          <w:p w14:paraId="6DA47542" w14:textId="77777777" w:rsidR="00E209F8" w:rsidRPr="00290B01" w:rsidRDefault="00E209F8"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59334FE6" w14:textId="7714C89D" w:rsidR="00E209F8" w:rsidRPr="00703807" w:rsidRDefault="00925374" w:rsidP="00CD3678">
            <w:pPr>
              <w:jc w:val="right"/>
              <w:rPr>
                <w:rFonts w:eastAsia="Times New Roman" w:cs="Times New Roman"/>
                <w:b/>
                <w:bCs/>
                <w:sz w:val="18"/>
                <w:szCs w:val="18"/>
                <w:lang w:eastAsia="en-GB"/>
              </w:rPr>
            </w:pPr>
            <w:r w:rsidRPr="00703807">
              <w:rPr>
                <w:rFonts w:eastAsia="Times New Roman" w:cs="Times New Roman"/>
                <w:b/>
                <w:bCs/>
                <w:sz w:val="18"/>
                <w:szCs w:val="18"/>
                <w:lang w:eastAsia="en-GB"/>
              </w:rPr>
              <w:t>151,100</w:t>
            </w:r>
          </w:p>
        </w:tc>
        <w:tc>
          <w:tcPr>
            <w:tcW w:w="1560" w:type="dxa"/>
            <w:tcBorders>
              <w:top w:val="nil"/>
              <w:left w:val="nil"/>
              <w:bottom w:val="nil"/>
              <w:right w:val="nil"/>
            </w:tcBorders>
            <w:shd w:val="clear" w:color="auto" w:fill="auto"/>
            <w:noWrap/>
            <w:vAlign w:val="bottom"/>
          </w:tcPr>
          <w:p w14:paraId="208D17BA" w14:textId="6D7465BC" w:rsidR="00E209F8" w:rsidRPr="00703807" w:rsidRDefault="00E209F8"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128,642</w:t>
            </w:r>
          </w:p>
        </w:tc>
      </w:tr>
      <w:tr w:rsidR="00925374" w:rsidRPr="00290B01" w14:paraId="09E9EF85" w14:textId="77777777" w:rsidTr="00E209F8">
        <w:trPr>
          <w:trHeight w:val="288"/>
        </w:trPr>
        <w:tc>
          <w:tcPr>
            <w:tcW w:w="5245" w:type="dxa"/>
            <w:tcBorders>
              <w:top w:val="nil"/>
              <w:left w:val="nil"/>
              <w:bottom w:val="nil"/>
              <w:right w:val="nil"/>
            </w:tcBorders>
            <w:shd w:val="clear" w:color="auto" w:fill="auto"/>
            <w:noWrap/>
            <w:vAlign w:val="bottom"/>
          </w:tcPr>
          <w:p w14:paraId="33BD6C88" w14:textId="1DBFC87D" w:rsidR="00925374" w:rsidRPr="00E209F8" w:rsidRDefault="00925374" w:rsidP="00CD3678">
            <w:pPr>
              <w:rPr>
                <w:rFonts w:eastAsia="Times New Roman" w:cs="Times New Roman"/>
                <w:color w:val="000000"/>
                <w:sz w:val="18"/>
                <w:szCs w:val="18"/>
                <w:lang w:eastAsia="en-GB"/>
              </w:rPr>
            </w:pPr>
            <w:r>
              <w:rPr>
                <w:rFonts w:eastAsia="Times New Roman" w:cs="Times New Roman"/>
                <w:color w:val="000000"/>
                <w:sz w:val="18"/>
                <w:szCs w:val="18"/>
                <w:lang w:eastAsia="en-GB"/>
              </w:rPr>
              <w:t>Furniture and fixtures</w:t>
            </w:r>
          </w:p>
        </w:tc>
        <w:tc>
          <w:tcPr>
            <w:tcW w:w="709" w:type="dxa"/>
            <w:tcBorders>
              <w:top w:val="nil"/>
              <w:left w:val="nil"/>
              <w:bottom w:val="nil"/>
              <w:right w:val="nil"/>
            </w:tcBorders>
            <w:shd w:val="clear" w:color="auto" w:fill="auto"/>
            <w:noWrap/>
            <w:vAlign w:val="bottom"/>
          </w:tcPr>
          <w:p w14:paraId="04F9742D" w14:textId="77777777" w:rsidR="00925374" w:rsidRPr="00290B01" w:rsidRDefault="00925374"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70EAA2DC" w14:textId="191A49E5" w:rsidR="00925374" w:rsidRPr="00703807" w:rsidRDefault="00925374" w:rsidP="00CD3678">
            <w:pPr>
              <w:jc w:val="right"/>
              <w:rPr>
                <w:rFonts w:eastAsia="Times New Roman" w:cs="Times New Roman"/>
                <w:b/>
                <w:bCs/>
                <w:sz w:val="18"/>
                <w:szCs w:val="18"/>
                <w:lang w:eastAsia="en-GB"/>
              </w:rPr>
            </w:pPr>
            <w:r w:rsidRPr="00703807">
              <w:rPr>
                <w:rFonts w:eastAsia="Times New Roman" w:cs="Times New Roman"/>
                <w:b/>
                <w:bCs/>
                <w:sz w:val="18"/>
                <w:szCs w:val="18"/>
                <w:lang w:eastAsia="en-GB"/>
              </w:rPr>
              <w:t>142,470</w:t>
            </w:r>
          </w:p>
        </w:tc>
        <w:tc>
          <w:tcPr>
            <w:tcW w:w="1560" w:type="dxa"/>
            <w:tcBorders>
              <w:top w:val="nil"/>
              <w:left w:val="nil"/>
              <w:bottom w:val="nil"/>
              <w:right w:val="nil"/>
            </w:tcBorders>
            <w:shd w:val="clear" w:color="auto" w:fill="auto"/>
            <w:noWrap/>
            <w:vAlign w:val="bottom"/>
          </w:tcPr>
          <w:p w14:paraId="7476BAD2" w14:textId="209F9A49" w:rsidR="00925374" w:rsidRPr="00703807" w:rsidRDefault="00925374"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140,270</w:t>
            </w:r>
          </w:p>
        </w:tc>
      </w:tr>
      <w:tr w:rsidR="00E209F8" w:rsidRPr="00290B01" w14:paraId="6F5AB90C" w14:textId="77777777" w:rsidTr="00E209F8">
        <w:trPr>
          <w:trHeight w:val="288"/>
        </w:trPr>
        <w:tc>
          <w:tcPr>
            <w:tcW w:w="5245" w:type="dxa"/>
            <w:tcBorders>
              <w:top w:val="nil"/>
              <w:left w:val="nil"/>
              <w:bottom w:val="nil"/>
              <w:right w:val="nil"/>
            </w:tcBorders>
            <w:shd w:val="clear" w:color="auto" w:fill="auto"/>
            <w:noWrap/>
            <w:vAlign w:val="bottom"/>
          </w:tcPr>
          <w:p w14:paraId="6F65AC7A" w14:textId="65A442EB" w:rsidR="00E209F8" w:rsidRPr="006304E8" w:rsidRDefault="00E209F8" w:rsidP="00CD3678">
            <w:pPr>
              <w:rPr>
                <w:rFonts w:eastAsia="Times New Roman" w:cs="Times New Roman"/>
                <w:color w:val="000000"/>
                <w:sz w:val="18"/>
                <w:szCs w:val="18"/>
                <w:lang w:eastAsia="en-GB"/>
              </w:rPr>
            </w:pPr>
            <w:r w:rsidRPr="00E209F8">
              <w:rPr>
                <w:rFonts w:eastAsia="Times New Roman" w:cs="Times New Roman"/>
                <w:color w:val="000000"/>
                <w:sz w:val="18"/>
                <w:szCs w:val="18"/>
                <w:lang w:eastAsia="en-GB"/>
              </w:rPr>
              <w:t>Computers &amp; equipment</w:t>
            </w:r>
          </w:p>
        </w:tc>
        <w:tc>
          <w:tcPr>
            <w:tcW w:w="709" w:type="dxa"/>
            <w:tcBorders>
              <w:top w:val="nil"/>
              <w:left w:val="nil"/>
              <w:bottom w:val="nil"/>
              <w:right w:val="nil"/>
            </w:tcBorders>
            <w:shd w:val="clear" w:color="auto" w:fill="auto"/>
            <w:noWrap/>
            <w:vAlign w:val="bottom"/>
          </w:tcPr>
          <w:p w14:paraId="2A96BD7B" w14:textId="77777777" w:rsidR="00E209F8" w:rsidRPr="00290B01" w:rsidRDefault="00E209F8"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73EFE695" w14:textId="197F5220" w:rsidR="00E209F8" w:rsidRPr="00703807" w:rsidRDefault="00925374" w:rsidP="00CD3678">
            <w:pPr>
              <w:jc w:val="right"/>
              <w:rPr>
                <w:rFonts w:eastAsia="Times New Roman" w:cs="Times New Roman"/>
                <w:b/>
                <w:bCs/>
                <w:sz w:val="18"/>
                <w:szCs w:val="18"/>
                <w:lang w:eastAsia="en-GB"/>
              </w:rPr>
            </w:pPr>
            <w:r w:rsidRPr="00703807">
              <w:rPr>
                <w:rFonts w:eastAsia="Times New Roman" w:cs="Times New Roman"/>
                <w:b/>
                <w:bCs/>
                <w:sz w:val="18"/>
                <w:szCs w:val="18"/>
                <w:lang w:eastAsia="en-GB"/>
              </w:rPr>
              <w:t>82,903</w:t>
            </w:r>
          </w:p>
        </w:tc>
        <w:tc>
          <w:tcPr>
            <w:tcW w:w="1560" w:type="dxa"/>
            <w:tcBorders>
              <w:top w:val="nil"/>
              <w:left w:val="nil"/>
              <w:bottom w:val="nil"/>
              <w:right w:val="nil"/>
            </w:tcBorders>
            <w:shd w:val="clear" w:color="auto" w:fill="auto"/>
            <w:noWrap/>
            <w:vAlign w:val="bottom"/>
          </w:tcPr>
          <w:p w14:paraId="556DC63B" w14:textId="62ABED45" w:rsidR="00E209F8" w:rsidRPr="00703807" w:rsidRDefault="00E209F8"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53,792</w:t>
            </w:r>
          </w:p>
        </w:tc>
      </w:tr>
      <w:tr w:rsidR="00E209F8" w:rsidRPr="00290B01" w14:paraId="3E903AA0" w14:textId="77777777" w:rsidTr="00E209F8">
        <w:trPr>
          <w:trHeight w:val="288"/>
        </w:trPr>
        <w:tc>
          <w:tcPr>
            <w:tcW w:w="5245" w:type="dxa"/>
            <w:tcBorders>
              <w:top w:val="nil"/>
              <w:left w:val="nil"/>
              <w:bottom w:val="nil"/>
              <w:right w:val="nil"/>
            </w:tcBorders>
            <w:shd w:val="clear" w:color="auto" w:fill="auto"/>
            <w:noWrap/>
            <w:vAlign w:val="bottom"/>
          </w:tcPr>
          <w:p w14:paraId="59AB8BE7" w14:textId="4E44BB60" w:rsidR="00E209F8" w:rsidRPr="00E209F8" w:rsidRDefault="00E209F8" w:rsidP="00CD3678">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709" w:type="dxa"/>
            <w:tcBorders>
              <w:top w:val="nil"/>
              <w:left w:val="nil"/>
              <w:bottom w:val="nil"/>
              <w:right w:val="nil"/>
            </w:tcBorders>
            <w:shd w:val="clear" w:color="auto" w:fill="auto"/>
            <w:noWrap/>
            <w:vAlign w:val="bottom"/>
          </w:tcPr>
          <w:p w14:paraId="25230D63" w14:textId="77777777" w:rsidR="00E209F8" w:rsidRPr="00290B01" w:rsidRDefault="00E209F8"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4CC55B17" w14:textId="3E4BF982" w:rsidR="00E209F8" w:rsidRPr="00703807" w:rsidRDefault="00925374" w:rsidP="00CD3678">
            <w:pPr>
              <w:jc w:val="right"/>
              <w:rPr>
                <w:rFonts w:eastAsia="Times New Roman" w:cs="Times New Roman"/>
                <w:b/>
                <w:bCs/>
                <w:sz w:val="18"/>
                <w:szCs w:val="18"/>
                <w:lang w:eastAsia="en-GB"/>
              </w:rPr>
            </w:pPr>
            <w:r w:rsidRPr="00703807">
              <w:rPr>
                <w:rFonts w:eastAsia="Times New Roman" w:cs="Times New Roman"/>
                <w:b/>
                <w:bCs/>
                <w:sz w:val="18"/>
                <w:szCs w:val="18"/>
                <w:lang w:eastAsia="en-GB"/>
              </w:rPr>
              <w:t>12,697</w:t>
            </w:r>
          </w:p>
        </w:tc>
        <w:tc>
          <w:tcPr>
            <w:tcW w:w="1560" w:type="dxa"/>
            <w:tcBorders>
              <w:top w:val="nil"/>
              <w:left w:val="nil"/>
              <w:bottom w:val="nil"/>
              <w:right w:val="nil"/>
            </w:tcBorders>
            <w:shd w:val="clear" w:color="auto" w:fill="auto"/>
            <w:noWrap/>
            <w:vAlign w:val="bottom"/>
          </w:tcPr>
          <w:p w14:paraId="4A44702D" w14:textId="7BBBD2EF" w:rsidR="00E209F8" w:rsidRPr="00703807" w:rsidRDefault="00E209F8"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12,697</w:t>
            </w:r>
          </w:p>
        </w:tc>
      </w:tr>
      <w:tr w:rsidR="00E209F8" w:rsidRPr="00290B01" w14:paraId="53341950" w14:textId="77777777" w:rsidTr="00C42AF6">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0F4B078C" w14:textId="5B10D860" w:rsidR="00E209F8" w:rsidRPr="00290B01" w:rsidRDefault="00D20412"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Total fully depreciated property and equipment</w:t>
            </w:r>
          </w:p>
        </w:tc>
        <w:tc>
          <w:tcPr>
            <w:tcW w:w="709" w:type="dxa"/>
            <w:tcBorders>
              <w:top w:val="single" w:sz="8" w:space="0" w:color="auto"/>
              <w:left w:val="nil"/>
              <w:bottom w:val="double" w:sz="6" w:space="0" w:color="auto"/>
              <w:right w:val="nil"/>
            </w:tcBorders>
            <w:shd w:val="clear" w:color="auto" w:fill="auto"/>
            <w:noWrap/>
            <w:vAlign w:val="bottom"/>
            <w:hideMark/>
          </w:tcPr>
          <w:p w14:paraId="4C6D2E79" w14:textId="77777777" w:rsidR="00E209F8" w:rsidRPr="00290B01" w:rsidRDefault="00E209F8"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139CB3AC" w14:textId="3ABFAC50" w:rsidR="00E209F8" w:rsidRPr="00703807" w:rsidRDefault="00925374" w:rsidP="00CD3678">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389,170</w:t>
            </w:r>
          </w:p>
        </w:tc>
        <w:tc>
          <w:tcPr>
            <w:tcW w:w="1560" w:type="dxa"/>
            <w:tcBorders>
              <w:top w:val="single" w:sz="8" w:space="0" w:color="auto"/>
              <w:left w:val="nil"/>
              <w:bottom w:val="double" w:sz="6" w:space="0" w:color="auto"/>
              <w:right w:val="nil"/>
            </w:tcBorders>
            <w:shd w:val="clear" w:color="auto" w:fill="auto"/>
            <w:noWrap/>
            <w:vAlign w:val="bottom"/>
          </w:tcPr>
          <w:p w14:paraId="7DA58D8B" w14:textId="79CAF100" w:rsidR="00E209F8" w:rsidRPr="00703807" w:rsidRDefault="00C42AF6"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335,401</w:t>
            </w:r>
          </w:p>
        </w:tc>
      </w:tr>
    </w:tbl>
    <w:p w14:paraId="41289A1D" w14:textId="77777777" w:rsidR="00E209F8" w:rsidRPr="00E209F8" w:rsidRDefault="00E209F8" w:rsidP="003B733B">
      <w:pPr>
        <w:spacing w:before="120" w:after="120"/>
        <w:jc w:val="both"/>
        <w:rPr>
          <w:sz w:val="18"/>
          <w:szCs w:val="18"/>
          <w:lang w:val="en-US"/>
        </w:rPr>
      </w:pPr>
    </w:p>
    <w:p w14:paraId="5B587805" w14:textId="0A3F5357" w:rsidR="006304E8" w:rsidRDefault="00C42AF6" w:rsidP="00C42AF6">
      <w:pPr>
        <w:pStyle w:val="ListParagraph"/>
        <w:numPr>
          <w:ilvl w:val="0"/>
          <w:numId w:val="1"/>
        </w:numPr>
        <w:spacing w:before="120" w:after="120"/>
        <w:outlineLvl w:val="0"/>
        <w:rPr>
          <w:b/>
          <w:bCs/>
          <w:sz w:val="18"/>
          <w:szCs w:val="18"/>
        </w:rPr>
      </w:pPr>
      <w:bookmarkStart w:id="53" w:name="_Toc57894897"/>
      <w:r>
        <w:rPr>
          <w:b/>
          <w:bCs/>
          <w:sz w:val="18"/>
          <w:szCs w:val="18"/>
        </w:rPr>
        <w:t>Intangible assets</w:t>
      </w:r>
      <w:bookmarkEnd w:id="53"/>
    </w:p>
    <w:p w14:paraId="3A6CED86" w14:textId="15F52B5F" w:rsidR="00C42AF6" w:rsidRDefault="00C42AF6" w:rsidP="00C42AF6">
      <w:pPr>
        <w:jc w:val="both"/>
        <w:rPr>
          <w:sz w:val="18"/>
          <w:szCs w:val="18"/>
        </w:rPr>
      </w:pPr>
      <w:r w:rsidRPr="00C42AF6">
        <w:rPr>
          <w:sz w:val="18"/>
          <w:szCs w:val="18"/>
        </w:rPr>
        <w:t>Movement in intangible assets for the year ended 31 December 2019 and 31 December 2018 were as follows:</w:t>
      </w:r>
    </w:p>
    <w:p w14:paraId="798D8D56" w14:textId="77777777" w:rsidR="00C42AF6" w:rsidRPr="00C42AF6" w:rsidRDefault="00C42AF6" w:rsidP="00C42AF6">
      <w:pPr>
        <w:jc w:val="both"/>
        <w:rPr>
          <w:sz w:val="18"/>
          <w:szCs w:val="18"/>
        </w:rPr>
      </w:pPr>
    </w:p>
    <w:tbl>
      <w:tblPr>
        <w:tblW w:w="8790" w:type="dxa"/>
        <w:tblLook w:val="04A0" w:firstRow="1" w:lastRow="0" w:firstColumn="1" w:lastColumn="0" w:noHBand="0" w:noVBand="1"/>
      </w:tblPr>
      <w:tblGrid>
        <w:gridCol w:w="3686"/>
        <w:gridCol w:w="1984"/>
        <w:gridCol w:w="1560"/>
        <w:gridCol w:w="1560"/>
      </w:tblGrid>
      <w:tr w:rsidR="00C42AF6" w:rsidRPr="00290B01" w14:paraId="03FEADCA" w14:textId="77777777" w:rsidTr="00C42AF6">
        <w:trPr>
          <w:trHeight w:val="305"/>
        </w:trPr>
        <w:tc>
          <w:tcPr>
            <w:tcW w:w="3686" w:type="dxa"/>
            <w:tcBorders>
              <w:top w:val="nil"/>
              <w:left w:val="nil"/>
              <w:bottom w:val="single" w:sz="8" w:space="0" w:color="auto"/>
              <w:right w:val="nil"/>
            </w:tcBorders>
            <w:shd w:val="clear" w:color="auto" w:fill="auto"/>
            <w:noWrap/>
            <w:vAlign w:val="center"/>
            <w:hideMark/>
          </w:tcPr>
          <w:p w14:paraId="435C5B42" w14:textId="77777777" w:rsidR="00C42AF6" w:rsidRPr="00290B01" w:rsidRDefault="00C42AF6"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984" w:type="dxa"/>
            <w:tcBorders>
              <w:top w:val="nil"/>
              <w:left w:val="nil"/>
              <w:bottom w:val="single" w:sz="8" w:space="0" w:color="auto"/>
              <w:right w:val="nil"/>
            </w:tcBorders>
            <w:shd w:val="clear" w:color="auto" w:fill="auto"/>
            <w:noWrap/>
            <w:vAlign w:val="center"/>
            <w:hideMark/>
          </w:tcPr>
          <w:p w14:paraId="4925C4B9" w14:textId="760583EE" w:rsidR="00C42AF6" w:rsidRPr="00290B01" w:rsidRDefault="00C42AF6" w:rsidP="00CD3678">
            <w:pPr>
              <w:jc w:val="center"/>
              <w:rPr>
                <w:rFonts w:eastAsia="Times New Roman" w:cs="Times New Roman"/>
                <w:b/>
                <w:bCs/>
                <w:color w:val="000000"/>
                <w:sz w:val="18"/>
                <w:szCs w:val="18"/>
                <w:lang w:eastAsia="en-GB"/>
              </w:rPr>
            </w:pPr>
            <w:r>
              <w:rPr>
                <w:rFonts w:eastAsia="Times New Roman" w:cs="Times New Roman"/>
                <w:b/>
                <w:bCs/>
                <w:color w:val="000000"/>
                <w:sz w:val="18"/>
                <w:szCs w:val="18"/>
                <w:lang w:eastAsia="en-GB"/>
              </w:rPr>
              <w:t>Computer software</w:t>
            </w:r>
            <w:r w:rsidRPr="00290B01">
              <w:rPr>
                <w:rFonts w:eastAsia="Times New Roman" w:cs="Times New Roman"/>
                <w:b/>
                <w:bCs/>
                <w:color w:val="000000"/>
                <w:sz w:val="18"/>
                <w:szCs w:val="18"/>
                <w:lang w:eastAsia="en-GB"/>
              </w:rPr>
              <w:t> </w:t>
            </w:r>
          </w:p>
        </w:tc>
        <w:tc>
          <w:tcPr>
            <w:tcW w:w="1560" w:type="dxa"/>
            <w:tcBorders>
              <w:top w:val="nil"/>
              <w:left w:val="nil"/>
              <w:bottom w:val="single" w:sz="8" w:space="0" w:color="auto"/>
              <w:right w:val="nil"/>
            </w:tcBorders>
            <w:shd w:val="clear" w:color="auto" w:fill="auto"/>
            <w:noWrap/>
            <w:vAlign w:val="center"/>
            <w:hideMark/>
          </w:tcPr>
          <w:p w14:paraId="48F8CD91" w14:textId="24F54545" w:rsidR="00C42AF6" w:rsidRPr="00290B01" w:rsidRDefault="00C42AF6"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License</w:t>
            </w:r>
          </w:p>
        </w:tc>
        <w:tc>
          <w:tcPr>
            <w:tcW w:w="1560" w:type="dxa"/>
            <w:tcBorders>
              <w:top w:val="nil"/>
              <w:left w:val="nil"/>
              <w:bottom w:val="single" w:sz="8" w:space="0" w:color="auto"/>
              <w:right w:val="nil"/>
            </w:tcBorders>
            <w:shd w:val="clear" w:color="auto" w:fill="auto"/>
            <w:noWrap/>
            <w:vAlign w:val="center"/>
            <w:hideMark/>
          </w:tcPr>
          <w:p w14:paraId="0BF2FDC9" w14:textId="3DD90B45" w:rsidR="00C42AF6" w:rsidRPr="00290B01" w:rsidRDefault="00C42AF6"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Total</w:t>
            </w:r>
          </w:p>
        </w:tc>
      </w:tr>
      <w:tr w:rsidR="00C42AF6" w:rsidRPr="00290B01" w14:paraId="1018F9B4" w14:textId="77777777" w:rsidTr="00C42AF6">
        <w:trPr>
          <w:trHeight w:val="288"/>
        </w:trPr>
        <w:tc>
          <w:tcPr>
            <w:tcW w:w="3686" w:type="dxa"/>
            <w:tcBorders>
              <w:top w:val="nil"/>
              <w:left w:val="nil"/>
              <w:bottom w:val="nil"/>
              <w:right w:val="nil"/>
            </w:tcBorders>
            <w:shd w:val="clear" w:color="auto" w:fill="auto"/>
            <w:noWrap/>
            <w:vAlign w:val="bottom"/>
            <w:hideMark/>
          </w:tcPr>
          <w:p w14:paraId="5C5DC079" w14:textId="4BEC733D" w:rsidR="00C42AF6" w:rsidRPr="00C42AF6" w:rsidRDefault="00C42AF6" w:rsidP="00CD3678">
            <w:pPr>
              <w:rPr>
                <w:rFonts w:eastAsia="Times New Roman" w:cs="Times New Roman"/>
                <w:b/>
                <w:bCs/>
                <w:color w:val="000000"/>
                <w:sz w:val="18"/>
                <w:szCs w:val="18"/>
                <w:lang w:eastAsia="en-GB"/>
              </w:rPr>
            </w:pPr>
            <w:r w:rsidRPr="00C42AF6">
              <w:rPr>
                <w:rFonts w:eastAsia="Times New Roman" w:cs="Times New Roman"/>
                <w:b/>
                <w:bCs/>
                <w:color w:val="000000"/>
                <w:sz w:val="18"/>
                <w:szCs w:val="18"/>
                <w:lang w:eastAsia="en-GB"/>
              </w:rPr>
              <w:t>Book value</w:t>
            </w:r>
          </w:p>
        </w:tc>
        <w:tc>
          <w:tcPr>
            <w:tcW w:w="1984" w:type="dxa"/>
            <w:tcBorders>
              <w:top w:val="nil"/>
              <w:left w:val="nil"/>
              <w:bottom w:val="nil"/>
              <w:right w:val="nil"/>
            </w:tcBorders>
            <w:shd w:val="clear" w:color="auto" w:fill="auto"/>
            <w:noWrap/>
            <w:vAlign w:val="bottom"/>
            <w:hideMark/>
          </w:tcPr>
          <w:p w14:paraId="13ADD49A" w14:textId="77777777" w:rsidR="00C42AF6" w:rsidRPr="00290B01" w:rsidRDefault="00C42AF6" w:rsidP="00CD3678">
            <w:pPr>
              <w:rPr>
                <w:rFonts w:eastAsia="Times New Roman" w:cs="Times New Roman"/>
                <w:color w:val="000000"/>
                <w:sz w:val="18"/>
                <w:szCs w:val="18"/>
                <w:lang w:eastAsia="en-GB"/>
              </w:rPr>
            </w:pPr>
          </w:p>
        </w:tc>
        <w:tc>
          <w:tcPr>
            <w:tcW w:w="1560" w:type="dxa"/>
            <w:tcBorders>
              <w:top w:val="nil"/>
              <w:left w:val="nil"/>
              <w:bottom w:val="nil"/>
              <w:right w:val="nil"/>
            </w:tcBorders>
            <w:shd w:val="clear" w:color="auto" w:fill="auto"/>
            <w:noWrap/>
            <w:vAlign w:val="bottom"/>
          </w:tcPr>
          <w:p w14:paraId="0EC1C7FA" w14:textId="77777777" w:rsidR="00C42AF6" w:rsidRPr="00290B01" w:rsidRDefault="00C42AF6" w:rsidP="00CD3678">
            <w:pPr>
              <w:jc w:val="right"/>
              <w:rPr>
                <w:rFonts w:eastAsia="Times New Roman" w:cs="Times New Roman"/>
                <w:sz w:val="18"/>
                <w:szCs w:val="18"/>
                <w:lang w:eastAsia="en-GB"/>
              </w:rPr>
            </w:pPr>
          </w:p>
        </w:tc>
        <w:tc>
          <w:tcPr>
            <w:tcW w:w="1560" w:type="dxa"/>
            <w:tcBorders>
              <w:top w:val="nil"/>
              <w:left w:val="nil"/>
              <w:bottom w:val="nil"/>
              <w:right w:val="nil"/>
            </w:tcBorders>
            <w:shd w:val="clear" w:color="auto" w:fill="auto"/>
            <w:noWrap/>
            <w:vAlign w:val="bottom"/>
          </w:tcPr>
          <w:p w14:paraId="3B2185DB" w14:textId="490DBCC2" w:rsidR="00C42AF6" w:rsidRPr="00290B01" w:rsidRDefault="00C42AF6" w:rsidP="00CD3678">
            <w:pPr>
              <w:jc w:val="right"/>
              <w:rPr>
                <w:rFonts w:eastAsia="Times New Roman" w:cs="Times New Roman"/>
                <w:color w:val="000000"/>
                <w:sz w:val="18"/>
                <w:szCs w:val="18"/>
                <w:lang w:val="en-US" w:eastAsia="en-GB"/>
              </w:rPr>
            </w:pPr>
          </w:p>
        </w:tc>
      </w:tr>
      <w:tr w:rsidR="00C42AF6" w:rsidRPr="00290B01" w14:paraId="50722326" w14:textId="77777777" w:rsidTr="00450F06">
        <w:trPr>
          <w:trHeight w:val="288"/>
        </w:trPr>
        <w:tc>
          <w:tcPr>
            <w:tcW w:w="3686" w:type="dxa"/>
            <w:tcBorders>
              <w:top w:val="nil"/>
              <w:left w:val="nil"/>
              <w:right w:val="nil"/>
            </w:tcBorders>
            <w:shd w:val="clear" w:color="auto" w:fill="auto"/>
            <w:noWrap/>
            <w:vAlign w:val="bottom"/>
          </w:tcPr>
          <w:p w14:paraId="1982D0BA" w14:textId="1175C708" w:rsidR="00C42AF6" w:rsidRDefault="00C42AF6" w:rsidP="00CD3678">
            <w:pPr>
              <w:rPr>
                <w:rFonts w:eastAsia="Times New Roman" w:cs="Times New Roman"/>
                <w:color w:val="000000"/>
                <w:sz w:val="18"/>
                <w:szCs w:val="18"/>
                <w:lang w:eastAsia="en-GB"/>
              </w:rPr>
            </w:pPr>
            <w:r>
              <w:rPr>
                <w:rFonts w:eastAsia="Times New Roman" w:cs="Times New Roman"/>
                <w:color w:val="000000"/>
                <w:sz w:val="18"/>
                <w:szCs w:val="18"/>
                <w:lang w:eastAsia="en-GB"/>
              </w:rPr>
              <w:t>As at 31 December 2017</w:t>
            </w:r>
          </w:p>
        </w:tc>
        <w:tc>
          <w:tcPr>
            <w:tcW w:w="1984" w:type="dxa"/>
            <w:tcBorders>
              <w:top w:val="nil"/>
              <w:left w:val="nil"/>
              <w:right w:val="nil"/>
            </w:tcBorders>
            <w:shd w:val="clear" w:color="auto" w:fill="auto"/>
            <w:noWrap/>
            <w:vAlign w:val="bottom"/>
          </w:tcPr>
          <w:p w14:paraId="4A8E261E" w14:textId="4F4DD92B" w:rsidR="00C42AF6" w:rsidRPr="00290B01" w:rsidRDefault="00C42AF6" w:rsidP="00C42AF6">
            <w:pPr>
              <w:jc w:val="right"/>
              <w:rPr>
                <w:rFonts w:eastAsia="Times New Roman" w:cs="Times New Roman"/>
                <w:color w:val="000000"/>
                <w:sz w:val="18"/>
                <w:szCs w:val="18"/>
                <w:lang w:eastAsia="en-GB"/>
              </w:rPr>
            </w:pPr>
            <w:r>
              <w:rPr>
                <w:rFonts w:eastAsia="Times New Roman" w:cs="Times New Roman"/>
                <w:color w:val="000000"/>
                <w:sz w:val="18"/>
                <w:szCs w:val="18"/>
                <w:lang w:eastAsia="en-GB"/>
              </w:rPr>
              <w:t>119,000</w:t>
            </w:r>
          </w:p>
        </w:tc>
        <w:tc>
          <w:tcPr>
            <w:tcW w:w="1560" w:type="dxa"/>
            <w:tcBorders>
              <w:top w:val="nil"/>
              <w:left w:val="nil"/>
              <w:right w:val="nil"/>
            </w:tcBorders>
            <w:shd w:val="clear" w:color="auto" w:fill="auto"/>
            <w:noWrap/>
            <w:vAlign w:val="bottom"/>
          </w:tcPr>
          <w:p w14:paraId="4A592FBB" w14:textId="2FC1BB0B" w:rsidR="00C42AF6" w:rsidRPr="00290B01" w:rsidRDefault="00C42AF6" w:rsidP="00C42AF6">
            <w:pPr>
              <w:jc w:val="right"/>
              <w:rPr>
                <w:rFonts w:eastAsia="Times New Roman" w:cs="Times New Roman"/>
                <w:sz w:val="18"/>
                <w:szCs w:val="18"/>
                <w:lang w:eastAsia="en-GB"/>
              </w:rPr>
            </w:pPr>
            <w:r>
              <w:rPr>
                <w:rFonts w:eastAsia="Times New Roman" w:cs="Times New Roman"/>
                <w:sz w:val="18"/>
                <w:szCs w:val="18"/>
                <w:lang w:eastAsia="en-GB"/>
              </w:rPr>
              <w:t>5,425</w:t>
            </w:r>
          </w:p>
        </w:tc>
        <w:tc>
          <w:tcPr>
            <w:tcW w:w="1560" w:type="dxa"/>
            <w:tcBorders>
              <w:top w:val="nil"/>
              <w:left w:val="nil"/>
              <w:right w:val="nil"/>
            </w:tcBorders>
            <w:shd w:val="clear" w:color="auto" w:fill="auto"/>
            <w:noWrap/>
            <w:vAlign w:val="bottom"/>
          </w:tcPr>
          <w:p w14:paraId="5A88E2D0" w14:textId="3AB44927" w:rsidR="00C42AF6" w:rsidRDefault="00C42AF6" w:rsidP="00C42AF6">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124,425</w:t>
            </w:r>
          </w:p>
        </w:tc>
      </w:tr>
      <w:tr w:rsidR="00C42AF6" w:rsidRPr="00290B01" w14:paraId="62CB1ECD" w14:textId="77777777" w:rsidTr="00450F06">
        <w:trPr>
          <w:trHeight w:val="288"/>
        </w:trPr>
        <w:tc>
          <w:tcPr>
            <w:tcW w:w="3686" w:type="dxa"/>
            <w:tcBorders>
              <w:top w:val="nil"/>
              <w:left w:val="nil"/>
              <w:bottom w:val="single" w:sz="4" w:space="0" w:color="auto"/>
              <w:right w:val="nil"/>
            </w:tcBorders>
            <w:shd w:val="clear" w:color="auto" w:fill="auto"/>
            <w:noWrap/>
            <w:vAlign w:val="bottom"/>
          </w:tcPr>
          <w:p w14:paraId="29302B62" w14:textId="597AC8E7" w:rsidR="00C42AF6" w:rsidRDefault="00C42AF6" w:rsidP="00CD3678">
            <w:pPr>
              <w:rPr>
                <w:rFonts w:eastAsia="Times New Roman" w:cs="Times New Roman"/>
                <w:color w:val="000000"/>
                <w:sz w:val="18"/>
                <w:szCs w:val="18"/>
                <w:lang w:eastAsia="en-GB"/>
              </w:rPr>
            </w:pPr>
            <w:r>
              <w:rPr>
                <w:rFonts w:eastAsia="Times New Roman" w:cs="Times New Roman"/>
                <w:color w:val="000000"/>
                <w:sz w:val="18"/>
                <w:szCs w:val="18"/>
                <w:lang w:eastAsia="en-GB"/>
              </w:rPr>
              <w:t>Additions</w:t>
            </w:r>
          </w:p>
        </w:tc>
        <w:tc>
          <w:tcPr>
            <w:tcW w:w="1984" w:type="dxa"/>
            <w:tcBorders>
              <w:top w:val="nil"/>
              <w:left w:val="nil"/>
              <w:bottom w:val="single" w:sz="4" w:space="0" w:color="auto"/>
              <w:right w:val="nil"/>
            </w:tcBorders>
            <w:shd w:val="clear" w:color="auto" w:fill="auto"/>
            <w:noWrap/>
            <w:vAlign w:val="bottom"/>
          </w:tcPr>
          <w:p w14:paraId="37FD22E6" w14:textId="78912926" w:rsidR="00C42AF6" w:rsidRPr="00290B01" w:rsidRDefault="00C42AF6" w:rsidP="00C42AF6">
            <w:pPr>
              <w:jc w:val="right"/>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1560" w:type="dxa"/>
            <w:tcBorders>
              <w:top w:val="nil"/>
              <w:left w:val="nil"/>
              <w:bottom w:val="single" w:sz="4" w:space="0" w:color="auto"/>
              <w:right w:val="nil"/>
            </w:tcBorders>
            <w:shd w:val="clear" w:color="auto" w:fill="auto"/>
            <w:noWrap/>
            <w:vAlign w:val="bottom"/>
          </w:tcPr>
          <w:p w14:paraId="0530924C" w14:textId="36316313" w:rsidR="00C42AF6" w:rsidRPr="006304E8" w:rsidRDefault="00C42AF6" w:rsidP="00C42AF6">
            <w:pPr>
              <w:jc w:val="right"/>
              <w:rPr>
                <w:rFonts w:eastAsia="Times New Roman" w:cs="Times New Roman"/>
                <w:sz w:val="18"/>
                <w:szCs w:val="18"/>
                <w:lang w:eastAsia="en-GB"/>
              </w:rPr>
            </w:pPr>
            <w:r>
              <w:rPr>
                <w:rFonts w:eastAsia="Times New Roman" w:cs="Times New Roman"/>
                <w:sz w:val="18"/>
                <w:szCs w:val="18"/>
                <w:lang w:eastAsia="en-GB"/>
              </w:rPr>
              <w:t>-</w:t>
            </w:r>
          </w:p>
        </w:tc>
        <w:tc>
          <w:tcPr>
            <w:tcW w:w="1560" w:type="dxa"/>
            <w:tcBorders>
              <w:top w:val="nil"/>
              <w:left w:val="nil"/>
              <w:bottom w:val="single" w:sz="4" w:space="0" w:color="auto"/>
              <w:right w:val="nil"/>
            </w:tcBorders>
            <w:shd w:val="clear" w:color="auto" w:fill="auto"/>
            <w:noWrap/>
            <w:vAlign w:val="bottom"/>
          </w:tcPr>
          <w:p w14:paraId="33691EB0" w14:textId="61094A23" w:rsidR="00C42AF6" w:rsidRDefault="00C42AF6" w:rsidP="00C42AF6">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w:t>
            </w:r>
          </w:p>
        </w:tc>
      </w:tr>
      <w:tr w:rsidR="00C42AF6" w:rsidRPr="00290B01" w14:paraId="21C3A38B" w14:textId="77777777" w:rsidTr="00450F06">
        <w:trPr>
          <w:trHeight w:val="288"/>
        </w:trPr>
        <w:tc>
          <w:tcPr>
            <w:tcW w:w="3686" w:type="dxa"/>
            <w:tcBorders>
              <w:top w:val="single" w:sz="4" w:space="0" w:color="auto"/>
              <w:left w:val="nil"/>
              <w:bottom w:val="single" w:sz="4" w:space="0" w:color="auto"/>
              <w:right w:val="nil"/>
            </w:tcBorders>
            <w:shd w:val="clear" w:color="auto" w:fill="auto"/>
            <w:noWrap/>
            <w:vAlign w:val="bottom"/>
          </w:tcPr>
          <w:p w14:paraId="10455CAA" w14:textId="4507C964" w:rsidR="00C42AF6" w:rsidRPr="00450F06" w:rsidRDefault="00C42AF6" w:rsidP="00CD3678">
            <w:pPr>
              <w:rPr>
                <w:rFonts w:eastAsia="Times New Roman" w:cs="Times New Roman"/>
                <w:b/>
                <w:bCs/>
                <w:color w:val="000000"/>
                <w:sz w:val="18"/>
                <w:szCs w:val="18"/>
                <w:lang w:eastAsia="en-GB"/>
              </w:rPr>
            </w:pPr>
            <w:r w:rsidRPr="00450F06">
              <w:rPr>
                <w:rFonts w:eastAsia="Times New Roman" w:cs="Times New Roman"/>
                <w:b/>
                <w:bCs/>
                <w:color w:val="000000"/>
                <w:sz w:val="18"/>
                <w:szCs w:val="18"/>
                <w:lang w:eastAsia="en-GB"/>
              </w:rPr>
              <w:t>As at 31 December 2018</w:t>
            </w:r>
          </w:p>
        </w:tc>
        <w:tc>
          <w:tcPr>
            <w:tcW w:w="1984" w:type="dxa"/>
            <w:tcBorders>
              <w:top w:val="single" w:sz="4" w:space="0" w:color="auto"/>
              <w:left w:val="nil"/>
              <w:bottom w:val="single" w:sz="4" w:space="0" w:color="auto"/>
              <w:right w:val="nil"/>
            </w:tcBorders>
            <w:shd w:val="clear" w:color="auto" w:fill="auto"/>
            <w:noWrap/>
            <w:vAlign w:val="bottom"/>
          </w:tcPr>
          <w:p w14:paraId="5000A8AB" w14:textId="4263F959" w:rsidR="00C42AF6" w:rsidRPr="00450F06" w:rsidRDefault="00C42AF6" w:rsidP="00C42AF6">
            <w:pPr>
              <w:jc w:val="right"/>
              <w:rPr>
                <w:rFonts w:eastAsia="Times New Roman" w:cs="Times New Roman"/>
                <w:b/>
                <w:bCs/>
                <w:color w:val="000000"/>
                <w:sz w:val="18"/>
                <w:szCs w:val="18"/>
                <w:lang w:eastAsia="en-GB"/>
              </w:rPr>
            </w:pPr>
            <w:r w:rsidRPr="00450F06">
              <w:rPr>
                <w:rFonts w:eastAsia="Times New Roman" w:cs="Times New Roman"/>
                <w:b/>
                <w:bCs/>
                <w:color w:val="000000"/>
                <w:sz w:val="18"/>
                <w:szCs w:val="18"/>
                <w:lang w:eastAsia="en-GB"/>
              </w:rPr>
              <w:t>119,000</w:t>
            </w:r>
          </w:p>
        </w:tc>
        <w:tc>
          <w:tcPr>
            <w:tcW w:w="1560" w:type="dxa"/>
            <w:tcBorders>
              <w:top w:val="single" w:sz="4" w:space="0" w:color="auto"/>
              <w:left w:val="nil"/>
              <w:bottom w:val="single" w:sz="4" w:space="0" w:color="auto"/>
              <w:right w:val="nil"/>
            </w:tcBorders>
            <w:shd w:val="clear" w:color="auto" w:fill="auto"/>
            <w:noWrap/>
            <w:vAlign w:val="bottom"/>
          </w:tcPr>
          <w:p w14:paraId="445389D4" w14:textId="1B41B0D0" w:rsidR="00C42AF6" w:rsidRPr="00450F06" w:rsidRDefault="00C42AF6" w:rsidP="00C42AF6">
            <w:pPr>
              <w:jc w:val="right"/>
              <w:rPr>
                <w:rFonts w:eastAsia="Times New Roman" w:cs="Times New Roman"/>
                <w:b/>
                <w:bCs/>
                <w:sz w:val="18"/>
                <w:szCs w:val="18"/>
                <w:lang w:eastAsia="en-GB"/>
              </w:rPr>
            </w:pPr>
            <w:r w:rsidRPr="00450F06">
              <w:rPr>
                <w:rFonts w:eastAsia="Times New Roman" w:cs="Times New Roman"/>
                <w:b/>
                <w:bCs/>
                <w:sz w:val="18"/>
                <w:szCs w:val="18"/>
                <w:lang w:eastAsia="en-GB"/>
              </w:rPr>
              <w:t>5,425</w:t>
            </w:r>
          </w:p>
        </w:tc>
        <w:tc>
          <w:tcPr>
            <w:tcW w:w="1560" w:type="dxa"/>
            <w:tcBorders>
              <w:top w:val="single" w:sz="4" w:space="0" w:color="auto"/>
              <w:left w:val="nil"/>
              <w:bottom w:val="single" w:sz="4" w:space="0" w:color="auto"/>
              <w:right w:val="nil"/>
            </w:tcBorders>
            <w:shd w:val="clear" w:color="auto" w:fill="auto"/>
            <w:noWrap/>
            <w:vAlign w:val="bottom"/>
          </w:tcPr>
          <w:p w14:paraId="53DB5E75" w14:textId="2EE1F8D4" w:rsidR="00C42AF6" w:rsidRPr="00450F06" w:rsidRDefault="00C42AF6" w:rsidP="00C42AF6">
            <w:pPr>
              <w:jc w:val="right"/>
              <w:rPr>
                <w:rFonts w:eastAsia="Times New Roman" w:cs="Times New Roman"/>
                <w:b/>
                <w:bCs/>
                <w:color w:val="000000"/>
                <w:sz w:val="18"/>
                <w:szCs w:val="18"/>
                <w:lang w:val="en-US" w:eastAsia="en-GB"/>
              </w:rPr>
            </w:pPr>
            <w:r w:rsidRPr="00450F06">
              <w:rPr>
                <w:rFonts w:eastAsia="Times New Roman" w:cs="Times New Roman"/>
                <w:b/>
                <w:bCs/>
                <w:color w:val="000000"/>
                <w:sz w:val="18"/>
                <w:szCs w:val="18"/>
                <w:lang w:val="en-US" w:eastAsia="en-GB"/>
              </w:rPr>
              <w:t>124,425</w:t>
            </w:r>
          </w:p>
        </w:tc>
      </w:tr>
      <w:tr w:rsidR="00C42AF6" w:rsidRPr="00290B01" w14:paraId="5204517A" w14:textId="77777777" w:rsidTr="00450F06">
        <w:trPr>
          <w:trHeight w:val="288"/>
        </w:trPr>
        <w:tc>
          <w:tcPr>
            <w:tcW w:w="3686" w:type="dxa"/>
            <w:tcBorders>
              <w:top w:val="single" w:sz="4" w:space="0" w:color="auto"/>
              <w:left w:val="nil"/>
              <w:bottom w:val="single" w:sz="4" w:space="0" w:color="auto"/>
              <w:right w:val="nil"/>
            </w:tcBorders>
            <w:shd w:val="clear" w:color="auto" w:fill="auto"/>
            <w:noWrap/>
            <w:vAlign w:val="bottom"/>
          </w:tcPr>
          <w:p w14:paraId="6DFB5BD1" w14:textId="42B6AED2" w:rsidR="00C42AF6" w:rsidRDefault="00C42AF6" w:rsidP="00CD3678">
            <w:pPr>
              <w:rPr>
                <w:rFonts w:eastAsia="Times New Roman" w:cs="Times New Roman"/>
                <w:color w:val="000000"/>
                <w:sz w:val="18"/>
                <w:szCs w:val="18"/>
                <w:lang w:eastAsia="en-GB"/>
              </w:rPr>
            </w:pPr>
            <w:r>
              <w:rPr>
                <w:rFonts w:eastAsia="Times New Roman" w:cs="Times New Roman"/>
                <w:color w:val="000000"/>
                <w:sz w:val="18"/>
                <w:szCs w:val="18"/>
                <w:lang w:eastAsia="en-GB"/>
              </w:rPr>
              <w:t>Additions</w:t>
            </w:r>
          </w:p>
        </w:tc>
        <w:tc>
          <w:tcPr>
            <w:tcW w:w="1984" w:type="dxa"/>
            <w:tcBorders>
              <w:top w:val="single" w:sz="4" w:space="0" w:color="auto"/>
              <w:left w:val="nil"/>
              <w:bottom w:val="single" w:sz="4" w:space="0" w:color="auto"/>
              <w:right w:val="nil"/>
            </w:tcBorders>
            <w:shd w:val="clear" w:color="auto" w:fill="auto"/>
            <w:noWrap/>
            <w:vAlign w:val="bottom"/>
          </w:tcPr>
          <w:p w14:paraId="5EFE54B0" w14:textId="66425F30" w:rsidR="00C42AF6" w:rsidRPr="00290B01" w:rsidRDefault="00925374" w:rsidP="00C42AF6">
            <w:pPr>
              <w:jc w:val="right"/>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1560" w:type="dxa"/>
            <w:tcBorders>
              <w:top w:val="single" w:sz="4" w:space="0" w:color="auto"/>
              <w:left w:val="nil"/>
              <w:bottom w:val="single" w:sz="4" w:space="0" w:color="auto"/>
              <w:right w:val="nil"/>
            </w:tcBorders>
            <w:shd w:val="clear" w:color="auto" w:fill="auto"/>
            <w:noWrap/>
            <w:vAlign w:val="bottom"/>
          </w:tcPr>
          <w:p w14:paraId="5E03D634" w14:textId="1B4AA462" w:rsidR="00C42AF6" w:rsidRPr="006304E8" w:rsidRDefault="00925374" w:rsidP="00C42AF6">
            <w:pPr>
              <w:jc w:val="right"/>
              <w:rPr>
                <w:rFonts w:eastAsia="Times New Roman" w:cs="Times New Roman"/>
                <w:sz w:val="18"/>
                <w:szCs w:val="18"/>
                <w:lang w:eastAsia="en-GB"/>
              </w:rPr>
            </w:pPr>
            <w:r>
              <w:rPr>
                <w:rFonts w:eastAsia="Times New Roman" w:cs="Times New Roman"/>
                <w:sz w:val="18"/>
                <w:szCs w:val="18"/>
                <w:lang w:eastAsia="en-GB"/>
              </w:rPr>
              <w:t>-</w:t>
            </w:r>
          </w:p>
        </w:tc>
        <w:tc>
          <w:tcPr>
            <w:tcW w:w="1560" w:type="dxa"/>
            <w:tcBorders>
              <w:top w:val="single" w:sz="4" w:space="0" w:color="auto"/>
              <w:left w:val="nil"/>
              <w:bottom w:val="single" w:sz="4" w:space="0" w:color="auto"/>
              <w:right w:val="nil"/>
            </w:tcBorders>
            <w:shd w:val="clear" w:color="auto" w:fill="auto"/>
            <w:noWrap/>
            <w:vAlign w:val="bottom"/>
          </w:tcPr>
          <w:p w14:paraId="543D62CE" w14:textId="19910551" w:rsidR="00C42AF6" w:rsidRDefault="00925374" w:rsidP="00C42AF6">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w:t>
            </w:r>
          </w:p>
        </w:tc>
      </w:tr>
      <w:tr w:rsidR="00C42AF6" w:rsidRPr="00290B01" w14:paraId="511EA400" w14:textId="77777777" w:rsidTr="00C42AF6">
        <w:trPr>
          <w:trHeight w:val="288"/>
        </w:trPr>
        <w:tc>
          <w:tcPr>
            <w:tcW w:w="3686" w:type="dxa"/>
            <w:tcBorders>
              <w:top w:val="single" w:sz="4" w:space="0" w:color="auto"/>
              <w:left w:val="nil"/>
              <w:bottom w:val="single" w:sz="4" w:space="0" w:color="auto"/>
              <w:right w:val="nil"/>
            </w:tcBorders>
            <w:shd w:val="clear" w:color="auto" w:fill="auto"/>
            <w:noWrap/>
            <w:vAlign w:val="bottom"/>
          </w:tcPr>
          <w:p w14:paraId="65C273C6" w14:textId="591E330A" w:rsidR="00C42AF6" w:rsidRPr="00450F06" w:rsidRDefault="00C42AF6" w:rsidP="00CD3678">
            <w:pPr>
              <w:rPr>
                <w:rFonts w:eastAsia="Times New Roman" w:cs="Times New Roman"/>
                <w:b/>
                <w:bCs/>
                <w:color w:val="000000"/>
                <w:sz w:val="18"/>
                <w:szCs w:val="18"/>
                <w:lang w:eastAsia="en-GB"/>
              </w:rPr>
            </w:pPr>
            <w:r w:rsidRPr="00450F06">
              <w:rPr>
                <w:rFonts w:eastAsia="Times New Roman" w:cs="Times New Roman"/>
                <w:b/>
                <w:bCs/>
                <w:color w:val="000000"/>
                <w:sz w:val="18"/>
                <w:szCs w:val="18"/>
                <w:lang w:eastAsia="en-GB"/>
              </w:rPr>
              <w:t>As at 31 December 2019</w:t>
            </w:r>
          </w:p>
        </w:tc>
        <w:tc>
          <w:tcPr>
            <w:tcW w:w="1984" w:type="dxa"/>
            <w:tcBorders>
              <w:top w:val="single" w:sz="4" w:space="0" w:color="auto"/>
              <w:left w:val="nil"/>
              <w:bottom w:val="single" w:sz="4" w:space="0" w:color="auto"/>
              <w:right w:val="nil"/>
            </w:tcBorders>
            <w:shd w:val="clear" w:color="auto" w:fill="auto"/>
            <w:noWrap/>
            <w:vAlign w:val="bottom"/>
          </w:tcPr>
          <w:p w14:paraId="6FE04D11" w14:textId="67C7C93D" w:rsidR="00C42AF6" w:rsidRPr="00450F06" w:rsidRDefault="00925374" w:rsidP="00C42AF6">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119,000</w:t>
            </w:r>
          </w:p>
        </w:tc>
        <w:tc>
          <w:tcPr>
            <w:tcW w:w="1560" w:type="dxa"/>
            <w:tcBorders>
              <w:top w:val="single" w:sz="4" w:space="0" w:color="auto"/>
              <w:left w:val="nil"/>
              <w:bottom w:val="single" w:sz="4" w:space="0" w:color="auto"/>
              <w:right w:val="nil"/>
            </w:tcBorders>
            <w:shd w:val="clear" w:color="auto" w:fill="auto"/>
            <w:noWrap/>
            <w:vAlign w:val="bottom"/>
          </w:tcPr>
          <w:p w14:paraId="0AF972B9" w14:textId="0B75D227" w:rsidR="00C42AF6" w:rsidRPr="00450F06" w:rsidRDefault="00925374" w:rsidP="00C42AF6">
            <w:pPr>
              <w:jc w:val="right"/>
              <w:rPr>
                <w:rFonts w:eastAsia="Times New Roman" w:cs="Times New Roman"/>
                <w:b/>
                <w:bCs/>
                <w:sz w:val="18"/>
                <w:szCs w:val="18"/>
                <w:lang w:eastAsia="en-GB"/>
              </w:rPr>
            </w:pPr>
            <w:r>
              <w:rPr>
                <w:rFonts w:eastAsia="Times New Roman" w:cs="Times New Roman"/>
                <w:b/>
                <w:bCs/>
                <w:sz w:val="18"/>
                <w:szCs w:val="18"/>
                <w:lang w:eastAsia="en-GB"/>
              </w:rPr>
              <w:t>5,425</w:t>
            </w:r>
          </w:p>
        </w:tc>
        <w:tc>
          <w:tcPr>
            <w:tcW w:w="1560" w:type="dxa"/>
            <w:tcBorders>
              <w:top w:val="single" w:sz="4" w:space="0" w:color="auto"/>
              <w:left w:val="nil"/>
              <w:bottom w:val="single" w:sz="4" w:space="0" w:color="auto"/>
              <w:right w:val="nil"/>
            </w:tcBorders>
            <w:shd w:val="clear" w:color="auto" w:fill="auto"/>
            <w:noWrap/>
            <w:vAlign w:val="bottom"/>
          </w:tcPr>
          <w:p w14:paraId="1EB2EC44" w14:textId="594AA44A" w:rsidR="00C42AF6" w:rsidRPr="00450F06" w:rsidRDefault="00925374" w:rsidP="00C42AF6">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124,425</w:t>
            </w:r>
          </w:p>
        </w:tc>
      </w:tr>
      <w:tr w:rsidR="00C42AF6" w:rsidRPr="00290B01" w14:paraId="71CF1E73" w14:textId="77777777" w:rsidTr="00C42AF6">
        <w:trPr>
          <w:trHeight w:val="395"/>
        </w:trPr>
        <w:tc>
          <w:tcPr>
            <w:tcW w:w="3686" w:type="dxa"/>
            <w:tcBorders>
              <w:top w:val="single" w:sz="4" w:space="0" w:color="auto"/>
              <w:left w:val="nil"/>
              <w:bottom w:val="nil"/>
              <w:right w:val="nil"/>
            </w:tcBorders>
            <w:shd w:val="clear" w:color="auto" w:fill="auto"/>
            <w:noWrap/>
            <w:vAlign w:val="bottom"/>
          </w:tcPr>
          <w:p w14:paraId="256988A6" w14:textId="4E0D1705" w:rsidR="00C42AF6" w:rsidRPr="00C42AF6" w:rsidRDefault="00C42AF6" w:rsidP="00CD3678">
            <w:pPr>
              <w:rPr>
                <w:rFonts w:eastAsia="Times New Roman" w:cs="Times New Roman"/>
                <w:b/>
                <w:bCs/>
                <w:color w:val="000000"/>
                <w:sz w:val="18"/>
                <w:szCs w:val="18"/>
                <w:lang w:eastAsia="en-GB"/>
              </w:rPr>
            </w:pPr>
            <w:r w:rsidRPr="00C42AF6">
              <w:rPr>
                <w:rFonts w:eastAsia="Times New Roman" w:cs="Times New Roman"/>
                <w:b/>
                <w:bCs/>
                <w:color w:val="000000"/>
                <w:sz w:val="18"/>
                <w:szCs w:val="18"/>
                <w:lang w:eastAsia="en-GB"/>
              </w:rPr>
              <w:t>Accumulated amortisation</w:t>
            </w:r>
          </w:p>
        </w:tc>
        <w:tc>
          <w:tcPr>
            <w:tcW w:w="1984" w:type="dxa"/>
            <w:tcBorders>
              <w:top w:val="single" w:sz="4" w:space="0" w:color="auto"/>
              <w:left w:val="nil"/>
              <w:bottom w:val="nil"/>
              <w:right w:val="nil"/>
            </w:tcBorders>
            <w:shd w:val="clear" w:color="auto" w:fill="auto"/>
            <w:noWrap/>
            <w:vAlign w:val="bottom"/>
          </w:tcPr>
          <w:p w14:paraId="5CAC0A8A" w14:textId="77777777" w:rsidR="00C42AF6" w:rsidRPr="00290B01" w:rsidRDefault="00C42AF6" w:rsidP="00C42AF6">
            <w:pPr>
              <w:jc w:val="right"/>
              <w:rPr>
                <w:rFonts w:eastAsia="Times New Roman" w:cs="Times New Roman"/>
                <w:color w:val="000000"/>
                <w:sz w:val="18"/>
                <w:szCs w:val="18"/>
                <w:lang w:eastAsia="en-GB"/>
              </w:rPr>
            </w:pPr>
          </w:p>
        </w:tc>
        <w:tc>
          <w:tcPr>
            <w:tcW w:w="1560" w:type="dxa"/>
            <w:tcBorders>
              <w:top w:val="single" w:sz="4" w:space="0" w:color="auto"/>
              <w:left w:val="nil"/>
              <w:bottom w:val="nil"/>
              <w:right w:val="nil"/>
            </w:tcBorders>
            <w:shd w:val="clear" w:color="auto" w:fill="auto"/>
            <w:noWrap/>
            <w:vAlign w:val="bottom"/>
          </w:tcPr>
          <w:p w14:paraId="4F1D3FDA" w14:textId="77777777" w:rsidR="00C42AF6" w:rsidRPr="006304E8" w:rsidRDefault="00C42AF6" w:rsidP="00C42AF6">
            <w:pPr>
              <w:jc w:val="right"/>
              <w:rPr>
                <w:rFonts w:eastAsia="Times New Roman" w:cs="Times New Roman"/>
                <w:sz w:val="18"/>
                <w:szCs w:val="18"/>
                <w:lang w:eastAsia="en-GB"/>
              </w:rPr>
            </w:pPr>
          </w:p>
        </w:tc>
        <w:tc>
          <w:tcPr>
            <w:tcW w:w="1560" w:type="dxa"/>
            <w:tcBorders>
              <w:top w:val="single" w:sz="4" w:space="0" w:color="auto"/>
              <w:left w:val="nil"/>
              <w:bottom w:val="nil"/>
              <w:right w:val="nil"/>
            </w:tcBorders>
            <w:shd w:val="clear" w:color="auto" w:fill="auto"/>
            <w:noWrap/>
            <w:vAlign w:val="bottom"/>
          </w:tcPr>
          <w:p w14:paraId="3027615E" w14:textId="5A8686A3" w:rsidR="00C42AF6" w:rsidRPr="006304E8" w:rsidRDefault="00C42AF6" w:rsidP="00C42AF6">
            <w:pPr>
              <w:jc w:val="right"/>
              <w:rPr>
                <w:rFonts w:eastAsia="Times New Roman" w:cs="Times New Roman"/>
                <w:color w:val="000000"/>
                <w:sz w:val="18"/>
                <w:szCs w:val="18"/>
                <w:lang w:val="en-US" w:eastAsia="en-GB"/>
              </w:rPr>
            </w:pPr>
          </w:p>
        </w:tc>
      </w:tr>
      <w:tr w:rsidR="00C42AF6" w:rsidRPr="00290B01" w14:paraId="0E3FBF01" w14:textId="77777777" w:rsidTr="00450F06">
        <w:trPr>
          <w:trHeight w:val="395"/>
        </w:trPr>
        <w:tc>
          <w:tcPr>
            <w:tcW w:w="3686" w:type="dxa"/>
            <w:tcBorders>
              <w:top w:val="nil"/>
              <w:left w:val="nil"/>
              <w:right w:val="nil"/>
            </w:tcBorders>
            <w:shd w:val="clear" w:color="auto" w:fill="auto"/>
            <w:noWrap/>
            <w:vAlign w:val="bottom"/>
          </w:tcPr>
          <w:p w14:paraId="2BABB950" w14:textId="6DB7CF14" w:rsidR="00C42AF6" w:rsidRPr="00E209F8" w:rsidRDefault="00C42AF6" w:rsidP="00CD3678">
            <w:pPr>
              <w:rPr>
                <w:rFonts w:eastAsia="Times New Roman" w:cs="Times New Roman"/>
                <w:color w:val="000000"/>
                <w:sz w:val="18"/>
                <w:szCs w:val="18"/>
                <w:lang w:eastAsia="en-GB"/>
              </w:rPr>
            </w:pPr>
            <w:r>
              <w:rPr>
                <w:rFonts w:eastAsia="Times New Roman" w:cs="Times New Roman"/>
                <w:color w:val="000000"/>
                <w:sz w:val="18"/>
                <w:szCs w:val="18"/>
                <w:lang w:eastAsia="en-GB"/>
              </w:rPr>
              <w:t>As at 31 December 2017</w:t>
            </w:r>
          </w:p>
        </w:tc>
        <w:tc>
          <w:tcPr>
            <w:tcW w:w="1984" w:type="dxa"/>
            <w:tcBorders>
              <w:top w:val="nil"/>
              <w:left w:val="nil"/>
              <w:right w:val="nil"/>
            </w:tcBorders>
            <w:shd w:val="clear" w:color="auto" w:fill="auto"/>
            <w:noWrap/>
            <w:vAlign w:val="bottom"/>
          </w:tcPr>
          <w:p w14:paraId="75F0FA37" w14:textId="5714D80F" w:rsidR="00C42AF6" w:rsidRPr="00290B01" w:rsidRDefault="00C42AF6" w:rsidP="00C42AF6">
            <w:pPr>
              <w:jc w:val="right"/>
              <w:rPr>
                <w:rFonts w:eastAsia="Times New Roman" w:cs="Times New Roman"/>
                <w:color w:val="000000"/>
                <w:sz w:val="18"/>
                <w:szCs w:val="18"/>
                <w:lang w:eastAsia="en-GB"/>
              </w:rPr>
            </w:pPr>
            <w:r>
              <w:rPr>
                <w:rFonts w:eastAsia="Times New Roman" w:cs="Times New Roman"/>
                <w:color w:val="000000"/>
                <w:sz w:val="18"/>
                <w:szCs w:val="18"/>
                <w:lang w:eastAsia="en-GB"/>
              </w:rPr>
              <w:t>(49,491)</w:t>
            </w:r>
          </w:p>
        </w:tc>
        <w:tc>
          <w:tcPr>
            <w:tcW w:w="1560" w:type="dxa"/>
            <w:tcBorders>
              <w:top w:val="nil"/>
              <w:left w:val="nil"/>
              <w:right w:val="nil"/>
            </w:tcBorders>
            <w:shd w:val="clear" w:color="auto" w:fill="auto"/>
            <w:noWrap/>
            <w:vAlign w:val="bottom"/>
          </w:tcPr>
          <w:p w14:paraId="38BC0D1D" w14:textId="33CF8574" w:rsidR="00C42AF6" w:rsidRPr="006304E8" w:rsidRDefault="00450F06" w:rsidP="00C42AF6">
            <w:pPr>
              <w:jc w:val="right"/>
              <w:rPr>
                <w:rFonts w:eastAsia="Times New Roman" w:cs="Times New Roman"/>
                <w:sz w:val="18"/>
                <w:szCs w:val="18"/>
                <w:lang w:eastAsia="en-GB"/>
              </w:rPr>
            </w:pPr>
            <w:r>
              <w:rPr>
                <w:rFonts w:eastAsia="Times New Roman" w:cs="Times New Roman"/>
                <w:sz w:val="18"/>
                <w:szCs w:val="18"/>
                <w:lang w:eastAsia="en-GB"/>
              </w:rPr>
              <w:t>(2,378)</w:t>
            </w:r>
          </w:p>
        </w:tc>
        <w:tc>
          <w:tcPr>
            <w:tcW w:w="1560" w:type="dxa"/>
            <w:tcBorders>
              <w:top w:val="nil"/>
              <w:left w:val="nil"/>
              <w:right w:val="nil"/>
            </w:tcBorders>
            <w:shd w:val="clear" w:color="auto" w:fill="auto"/>
            <w:noWrap/>
            <w:vAlign w:val="bottom"/>
          </w:tcPr>
          <w:p w14:paraId="214FD233" w14:textId="3DC98378" w:rsidR="00C42AF6" w:rsidRDefault="00450F06" w:rsidP="00C42AF6">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(51,869)</w:t>
            </w:r>
          </w:p>
        </w:tc>
      </w:tr>
      <w:tr w:rsidR="00C42AF6" w:rsidRPr="00290B01" w14:paraId="7718702B" w14:textId="77777777" w:rsidTr="00450F06">
        <w:trPr>
          <w:trHeight w:val="267"/>
        </w:trPr>
        <w:tc>
          <w:tcPr>
            <w:tcW w:w="3686" w:type="dxa"/>
            <w:tcBorders>
              <w:top w:val="nil"/>
              <w:left w:val="nil"/>
              <w:bottom w:val="single" w:sz="4" w:space="0" w:color="auto"/>
              <w:right w:val="nil"/>
            </w:tcBorders>
            <w:shd w:val="clear" w:color="auto" w:fill="auto"/>
            <w:noWrap/>
            <w:vAlign w:val="bottom"/>
          </w:tcPr>
          <w:p w14:paraId="0FD59FFF" w14:textId="6DE292A6" w:rsidR="00C42AF6" w:rsidRDefault="00C42AF6" w:rsidP="00CD3678">
            <w:pPr>
              <w:rPr>
                <w:rFonts w:eastAsia="Times New Roman" w:cs="Times New Roman"/>
                <w:color w:val="000000"/>
                <w:sz w:val="18"/>
                <w:szCs w:val="18"/>
                <w:lang w:eastAsia="en-GB"/>
              </w:rPr>
            </w:pPr>
            <w:r>
              <w:rPr>
                <w:rFonts w:eastAsia="Times New Roman" w:cs="Times New Roman"/>
                <w:color w:val="000000"/>
                <w:sz w:val="18"/>
                <w:szCs w:val="18"/>
                <w:lang w:eastAsia="en-GB"/>
              </w:rPr>
              <w:t>Amortisation expenses</w:t>
            </w:r>
          </w:p>
        </w:tc>
        <w:tc>
          <w:tcPr>
            <w:tcW w:w="1984" w:type="dxa"/>
            <w:tcBorders>
              <w:top w:val="nil"/>
              <w:left w:val="nil"/>
              <w:bottom w:val="single" w:sz="4" w:space="0" w:color="auto"/>
              <w:right w:val="nil"/>
            </w:tcBorders>
            <w:shd w:val="clear" w:color="auto" w:fill="auto"/>
            <w:noWrap/>
            <w:vAlign w:val="bottom"/>
          </w:tcPr>
          <w:p w14:paraId="1167C2EB" w14:textId="6A12C92D" w:rsidR="00C42AF6" w:rsidRPr="00290B01" w:rsidRDefault="00C42AF6" w:rsidP="00C42AF6">
            <w:pPr>
              <w:jc w:val="right"/>
              <w:rPr>
                <w:rFonts w:eastAsia="Times New Roman" w:cs="Times New Roman"/>
                <w:color w:val="000000"/>
                <w:sz w:val="18"/>
                <w:szCs w:val="18"/>
                <w:lang w:eastAsia="en-GB"/>
              </w:rPr>
            </w:pPr>
            <w:r>
              <w:rPr>
                <w:rFonts w:eastAsia="Times New Roman" w:cs="Times New Roman"/>
                <w:color w:val="000000"/>
                <w:sz w:val="18"/>
                <w:szCs w:val="18"/>
                <w:lang w:eastAsia="en-GB"/>
              </w:rPr>
              <w:t>(23,800)</w:t>
            </w:r>
          </w:p>
        </w:tc>
        <w:tc>
          <w:tcPr>
            <w:tcW w:w="1560" w:type="dxa"/>
            <w:tcBorders>
              <w:top w:val="nil"/>
              <w:left w:val="nil"/>
              <w:bottom w:val="single" w:sz="4" w:space="0" w:color="auto"/>
              <w:right w:val="nil"/>
            </w:tcBorders>
            <w:shd w:val="clear" w:color="auto" w:fill="auto"/>
            <w:noWrap/>
            <w:vAlign w:val="bottom"/>
          </w:tcPr>
          <w:p w14:paraId="54AD7D92" w14:textId="09C58703" w:rsidR="00C42AF6" w:rsidRPr="006304E8" w:rsidRDefault="00450F06" w:rsidP="00C42AF6">
            <w:pPr>
              <w:jc w:val="right"/>
              <w:rPr>
                <w:rFonts w:eastAsia="Times New Roman" w:cs="Times New Roman"/>
                <w:sz w:val="18"/>
                <w:szCs w:val="18"/>
                <w:lang w:eastAsia="en-GB"/>
              </w:rPr>
            </w:pPr>
            <w:r>
              <w:rPr>
                <w:rFonts w:eastAsia="Times New Roman" w:cs="Times New Roman"/>
                <w:sz w:val="18"/>
                <w:szCs w:val="18"/>
                <w:lang w:eastAsia="en-GB"/>
              </w:rPr>
              <w:t>(1,085)</w:t>
            </w:r>
          </w:p>
        </w:tc>
        <w:tc>
          <w:tcPr>
            <w:tcW w:w="1560" w:type="dxa"/>
            <w:tcBorders>
              <w:top w:val="nil"/>
              <w:left w:val="nil"/>
              <w:bottom w:val="single" w:sz="4" w:space="0" w:color="auto"/>
              <w:right w:val="nil"/>
            </w:tcBorders>
            <w:shd w:val="clear" w:color="auto" w:fill="auto"/>
            <w:noWrap/>
            <w:vAlign w:val="bottom"/>
          </w:tcPr>
          <w:p w14:paraId="1EB73FD4" w14:textId="4AD2995F" w:rsidR="00C42AF6" w:rsidRDefault="00450F06" w:rsidP="00C42AF6">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(24,885)</w:t>
            </w:r>
          </w:p>
        </w:tc>
      </w:tr>
      <w:tr w:rsidR="00C42AF6" w:rsidRPr="00290B01" w14:paraId="1329A92A" w14:textId="77777777" w:rsidTr="00450F06">
        <w:trPr>
          <w:trHeight w:val="285"/>
        </w:trPr>
        <w:tc>
          <w:tcPr>
            <w:tcW w:w="3686" w:type="dxa"/>
            <w:tcBorders>
              <w:top w:val="single" w:sz="4" w:space="0" w:color="auto"/>
              <w:left w:val="nil"/>
              <w:bottom w:val="single" w:sz="4" w:space="0" w:color="auto"/>
              <w:right w:val="nil"/>
            </w:tcBorders>
            <w:shd w:val="clear" w:color="auto" w:fill="auto"/>
            <w:noWrap/>
            <w:vAlign w:val="bottom"/>
          </w:tcPr>
          <w:p w14:paraId="609B032D" w14:textId="53C124B6" w:rsidR="00C42AF6" w:rsidRPr="00450F06" w:rsidRDefault="00C42AF6" w:rsidP="00CD3678">
            <w:pPr>
              <w:rPr>
                <w:rFonts w:eastAsia="Times New Roman" w:cs="Times New Roman"/>
                <w:b/>
                <w:bCs/>
                <w:color w:val="000000"/>
                <w:sz w:val="18"/>
                <w:szCs w:val="18"/>
                <w:lang w:eastAsia="en-GB"/>
              </w:rPr>
            </w:pPr>
            <w:r w:rsidRPr="00450F06">
              <w:rPr>
                <w:rFonts w:eastAsia="Times New Roman" w:cs="Times New Roman"/>
                <w:b/>
                <w:bCs/>
                <w:color w:val="000000"/>
                <w:sz w:val="18"/>
                <w:szCs w:val="18"/>
                <w:lang w:eastAsia="en-GB"/>
              </w:rPr>
              <w:t>As at 31 December 2018</w:t>
            </w:r>
          </w:p>
        </w:tc>
        <w:tc>
          <w:tcPr>
            <w:tcW w:w="1984" w:type="dxa"/>
            <w:tcBorders>
              <w:top w:val="single" w:sz="4" w:space="0" w:color="auto"/>
              <w:left w:val="nil"/>
              <w:bottom w:val="single" w:sz="4" w:space="0" w:color="auto"/>
              <w:right w:val="nil"/>
            </w:tcBorders>
            <w:shd w:val="clear" w:color="auto" w:fill="auto"/>
            <w:noWrap/>
            <w:vAlign w:val="bottom"/>
          </w:tcPr>
          <w:p w14:paraId="35D5AFC9" w14:textId="31BDF716" w:rsidR="00C42AF6" w:rsidRPr="00450F06" w:rsidRDefault="00C42AF6" w:rsidP="00C42AF6">
            <w:pPr>
              <w:jc w:val="right"/>
              <w:rPr>
                <w:rFonts w:eastAsia="Times New Roman" w:cs="Times New Roman"/>
                <w:b/>
                <w:bCs/>
                <w:color w:val="000000"/>
                <w:sz w:val="18"/>
                <w:szCs w:val="18"/>
                <w:lang w:eastAsia="en-GB"/>
              </w:rPr>
            </w:pPr>
            <w:r w:rsidRPr="00450F06">
              <w:rPr>
                <w:rFonts w:eastAsia="Times New Roman" w:cs="Times New Roman"/>
                <w:b/>
                <w:bCs/>
                <w:color w:val="000000"/>
                <w:sz w:val="18"/>
                <w:szCs w:val="18"/>
                <w:lang w:eastAsia="en-GB"/>
              </w:rPr>
              <w:t>(73,291)</w:t>
            </w:r>
          </w:p>
        </w:tc>
        <w:tc>
          <w:tcPr>
            <w:tcW w:w="1560" w:type="dxa"/>
            <w:tcBorders>
              <w:top w:val="single" w:sz="4" w:space="0" w:color="auto"/>
              <w:left w:val="nil"/>
              <w:bottom w:val="single" w:sz="4" w:space="0" w:color="auto"/>
              <w:right w:val="nil"/>
            </w:tcBorders>
            <w:shd w:val="clear" w:color="auto" w:fill="auto"/>
            <w:noWrap/>
            <w:vAlign w:val="bottom"/>
          </w:tcPr>
          <w:p w14:paraId="61C59513" w14:textId="6B2A262F" w:rsidR="00C42AF6" w:rsidRPr="00450F06" w:rsidRDefault="00450F06" w:rsidP="00C42AF6">
            <w:pPr>
              <w:jc w:val="right"/>
              <w:rPr>
                <w:rFonts w:eastAsia="Times New Roman" w:cs="Times New Roman"/>
                <w:b/>
                <w:bCs/>
                <w:sz w:val="18"/>
                <w:szCs w:val="18"/>
                <w:lang w:eastAsia="en-GB"/>
              </w:rPr>
            </w:pPr>
            <w:r>
              <w:rPr>
                <w:rFonts w:eastAsia="Times New Roman" w:cs="Times New Roman"/>
                <w:b/>
                <w:bCs/>
                <w:sz w:val="18"/>
                <w:szCs w:val="18"/>
                <w:lang w:eastAsia="en-GB"/>
              </w:rPr>
              <w:t>(3,463)</w:t>
            </w:r>
          </w:p>
        </w:tc>
        <w:tc>
          <w:tcPr>
            <w:tcW w:w="1560" w:type="dxa"/>
            <w:tcBorders>
              <w:top w:val="single" w:sz="4" w:space="0" w:color="auto"/>
              <w:left w:val="nil"/>
              <w:bottom w:val="single" w:sz="4" w:space="0" w:color="auto"/>
              <w:right w:val="nil"/>
            </w:tcBorders>
            <w:shd w:val="clear" w:color="auto" w:fill="auto"/>
            <w:noWrap/>
            <w:vAlign w:val="bottom"/>
          </w:tcPr>
          <w:p w14:paraId="73F4D8AF" w14:textId="48E708A5" w:rsidR="00C42AF6" w:rsidRPr="00450F06" w:rsidRDefault="00450F06" w:rsidP="00C42AF6">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(76,754)</w:t>
            </w:r>
          </w:p>
        </w:tc>
      </w:tr>
      <w:tr w:rsidR="00C42AF6" w:rsidRPr="00290B01" w14:paraId="350F3BB5" w14:textId="77777777" w:rsidTr="00450F06">
        <w:trPr>
          <w:trHeight w:val="289"/>
        </w:trPr>
        <w:tc>
          <w:tcPr>
            <w:tcW w:w="3686" w:type="dxa"/>
            <w:tcBorders>
              <w:top w:val="single" w:sz="4" w:space="0" w:color="auto"/>
              <w:left w:val="nil"/>
              <w:bottom w:val="single" w:sz="4" w:space="0" w:color="auto"/>
              <w:right w:val="nil"/>
            </w:tcBorders>
            <w:shd w:val="clear" w:color="auto" w:fill="auto"/>
            <w:noWrap/>
            <w:vAlign w:val="bottom"/>
          </w:tcPr>
          <w:p w14:paraId="02A521A0" w14:textId="3DAC46BD" w:rsidR="00C42AF6" w:rsidRDefault="00C42AF6" w:rsidP="00CD3678">
            <w:pPr>
              <w:rPr>
                <w:rFonts w:eastAsia="Times New Roman" w:cs="Times New Roman"/>
                <w:color w:val="000000"/>
                <w:sz w:val="18"/>
                <w:szCs w:val="18"/>
                <w:lang w:eastAsia="en-GB"/>
              </w:rPr>
            </w:pPr>
            <w:r>
              <w:rPr>
                <w:rFonts w:eastAsia="Times New Roman" w:cs="Times New Roman"/>
                <w:color w:val="000000"/>
                <w:sz w:val="18"/>
                <w:szCs w:val="18"/>
                <w:lang w:eastAsia="en-GB"/>
              </w:rPr>
              <w:t>Amortisation expenses</w:t>
            </w:r>
          </w:p>
        </w:tc>
        <w:tc>
          <w:tcPr>
            <w:tcW w:w="1984" w:type="dxa"/>
            <w:tcBorders>
              <w:top w:val="single" w:sz="4" w:space="0" w:color="auto"/>
              <w:left w:val="nil"/>
              <w:bottom w:val="single" w:sz="4" w:space="0" w:color="auto"/>
              <w:right w:val="nil"/>
            </w:tcBorders>
            <w:shd w:val="clear" w:color="auto" w:fill="auto"/>
            <w:noWrap/>
            <w:vAlign w:val="bottom"/>
          </w:tcPr>
          <w:p w14:paraId="14079FD0" w14:textId="2E319969" w:rsidR="00C42AF6" w:rsidRPr="00290B01" w:rsidRDefault="00925374" w:rsidP="00C42AF6">
            <w:pPr>
              <w:jc w:val="right"/>
              <w:rPr>
                <w:rFonts w:eastAsia="Times New Roman" w:cs="Times New Roman"/>
                <w:color w:val="000000"/>
                <w:sz w:val="18"/>
                <w:szCs w:val="18"/>
                <w:lang w:eastAsia="en-GB"/>
              </w:rPr>
            </w:pPr>
            <w:r>
              <w:rPr>
                <w:rFonts w:eastAsia="Times New Roman" w:cs="Times New Roman"/>
                <w:color w:val="000000"/>
                <w:sz w:val="18"/>
                <w:szCs w:val="18"/>
                <w:lang w:eastAsia="en-GB"/>
              </w:rPr>
              <w:t>(23,800)</w:t>
            </w:r>
          </w:p>
        </w:tc>
        <w:tc>
          <w:tcPr>
            <w:tcW w:w="1560" w:type="dxa"/>
            <w:tcBorders>
              <w:top w:val="single" w:sz="4" w:space="0" w:color="auto"/>
              <w:left w:val="nil"/>
              <w:bottom w:val="single" w:sz="4" w:space="0" w:color="auto"/>
              <w:right w:val="nil"/>
            </w:tcBorders>
            <w:shd w:val="clear" w:color="auto" w:fill="auto"/>
            <w:noWrap/>
            <w:vAlign w:val="bottom"/>
          </w:tcPr>
          <w:p w14:paraId="038ABA3F" w14:textId="7E16512F" w:rsidR="00C42AF6" w:rsidRPr="006304E8" w:rsidRDefault="00BA544B" w:rsidP="00C42AF6">
            <w:pPr>
              <w:jc w:val="right"/>
              <w:rPr>
                <w:rFonts w:eastAsia="Times New Roman" w:cs="Times New Roman"/>
                <w:sz w:val="18"/>
                <w:szCs w:val="18"/>
                <w:lang w:eastAsia="en-GB"/>
              </w:rPr>
            </w:pPr>
            <w:r>
              <w:rPr>
                <w:rFonts w:eastAsia="Times New Roman" w:cs="Times New Roman"/>
                <w:sz w:val="18"/>
                <w:szCs w:val="18"/>
                <w:lang w:eastAsia="en-GB"/>
              </w:rPr>
              <w:t>(1,085)</w:t>
            </w:r>
          </w:p>
        </w:tc>
        <w:tc>
          <w:tcPr>
            <w:tcW w:w="1560" w:type="dxa"/>
            <w:tcBorders>
              <w:top w:val="single" w:sz="4" w:space="0" w:color="auto"/>
              <w:left w:val="nil"/>
              <w:bottom w:val="single" w:sz="4" w:space="0" w:color="auto"/>
              <w:right w:val="nil"/>
            </w:tcBorders>
            <w:shd w:val="clear" w:color="auto" w:fill="auto"/>
            <w:noWrap/>
            <w:vAlign w:val="bottom"/>
          </w:tcPr>
          <w:p w14:paraId="7C17B888" w14:textId="083EF13A" w:rsidR="00C42AF6" w:rsidRDefault="00BA544B" w:rsidP="00C42AF6">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(24,885)</w:t>
            </w:r>
          </w:p>
        </w:tc>
      </w:tr>
      <w:tr w:rsidR="00C42AF6" w:rsidRPr="00290B01" w14:paraId="457AD117" w14:textId="77777777" w:rsidTr="00450F06">
        <w:trPr>
          <w:trHeight w:val="279"/>
        </w:trPr>
        <w:tc>
          <w:tcPr>
            <w:tcW w:w="3686" w:type="dxa"/>
            <w:tcBorders>
              <w:top w:val="single" w:sz="4" w:space="0" w:color="auto"/>
              <w:left w:val="nil"/>
              <w:bottom w:val="single" w:sz="4" w:space="0" w:color="auto"/>
              <w:right w:val="nil"/>
            </w:tcBorders>
            <w:shd w:val="clear" w:color="auto" w:fill="auto"/>
            <w:noWrap/>
            <w:vAlign w:val="bottom"/>
          </w:tcPr>
          <w:p w14:paraId="76078AFD" w14:textId="7564B534" w:rsidR="00C42AF6" w:rsidRPr="00E209F8" w:rsidRDefault="00C42AF6" w:rsidP="00CD3678">
            <w:pPr>
              <w:rPr>
                <w:rFonts w:eastAsia="Times New Roman" w:cs="Times New Roman"/>
                <w:color w:val="000000"/>
                <w:sz w:val="18"/>
                <w:szCs w:val="18"/>
                <w:lang w:eastAsia="en-GB"/>
              </w:rPr>
            </w:pPr>
            <w:r>
              <w:rPr>
                <w:rFonts w:eastAsia="Times New Roman" w:cs="Times New Roman"/>
                <w:color w:val="000000"/>
                <w:sz w:val="18"/>
                <w:szCs w:val="18"/>
                <w:lang w:eastAsia="en-GB"/>
              </w:rPr>
              <w:t>As at 31 December 2019</w:t>
            </w:r>
          </w:p>
        </w:tc>
        <w:tc>
          <w:tcPr>
            <w:tcW w:w="1984" w:type="dxa"/>
            <w:tcBorders>
              <w:top w:val="single" w:sz="4" w:space="0" w:color="auto"/>
              <w:left w:val="nil"/>
              <w:bottom w:val="single" w:sz="4" w:space="0" w:color="auto"/>
              <w:right w:val="nil"/>
            </w:tcBorders>
            <w:shd w:val="clear" w:color="auto" w:fill="auto"/>
            <w:noWrap/>
            <w:vAlign w:val="bottom"/>
          </w:tcPr>
          <w:p w14:paraId="1A6C0526" w14:textId="1E09333A" w:rsidR="00C42AF6" w:rsidRPr="00925374" w:rsidRDefault="00925374" w:rsidP="00C42AF6">
            <w:pPr>
              <w:jc w:val="right"/>
              <w:rPr>
                <w:rFonts w:eastAsia="Times New Roman" w:cs="Times New Roman"/>
                <w:b/>
                <w:bCs/>
                <w:color w:val="000000"/>
                <w:sz w:val="18"/>
                <w:szCs w:val="18"/>
                <w:lang w:eastAsia="en-GB"/>
              </w:rPr>
            </w:pPr>
            <w:r w:rsidRPr="00925374">
              <w:rPr>
                <w:rFonts w:eastAsia="Times New Roman" w:cs="Times New Roman"/>
                <w:b/>
                <w:bCs/>
                <w:color w:val="000000"/>
                <w:sz w:val="18"/>
                <w:szCs w:val="18"/>
                <w:lang w:eastAsia="en-GB"/>
              </w:rPr>
              <w:t>(97,091)</w:t>
            </w:r>
          </w:p>
        </w:tc>
        <w:tc>
          <w:tcPr>
            <w:tcW w:w="1560" w:type="dxa"/>
            <w:tcBorders>
              <w:top w:val="single" w:sz="4" w:space="0" w:color="auto"/>
              <w:left w:val="nil"/>
              <w:bottom w:val="single" w:sz="4" w:space="0" w:color="auto"/>
              <w:right w:val="nil"/>
            </w:tcBorders>
            <w:shd w:val="clear" w:color="auto" w:fill="auto"/>
            <w:noWrap/>
            <w:vAlign w:val="bottom"/>
          </w:tcPr>
          <w:p w14:paraId="3D0E3262" w14:textId="6BD50B08" w:rsidR="00C42AF6" w:rsidRPr="00925374" w:rsidRDefault="00BA544B" w:rsidP="00C42AF6">
            <w:pPr>
              <w:jc w:val="right"/>
              <w:rPr>
                <w:rFonts w:eastAsia="Times New Roman" w:cs="Times New Roman"/>
                <w:b/>
                <w:bCs/>
                <w:sz w:val="18"/>
                <w:szCs w:val="18"/>
                <w:lang w:eastAsia="en-GB"/>
              </w:rPr>
            </w:pPr>
            <w:r>
              <w:rPr>
                <w:rFonts w:eastAsia="Times New Roman" w:cs="Times New Roman"/>
                <w:b/>
                <w:bCs/>
                <w:sz w:val="18"/>
                <w:szCs w:val="18"/>
                <w:lang w:eastAsia="en-GB"/>
              </w:rPr>
              <w:t>(4,548)</w:t>
            </w:r>
          </w:p>
        </w:tc>
        <w:tc>
          <w:tcPr>
            <w:tcW w:w="1560" w:type="dxa"/>
            <w:tcBorders>
              <w:top w:val="single" w:sz="4" w:space="0" w:color="auto"/>
              <w:left w:val="nil"/>
              <w:bottom w:val="single" w:sz="4" w:space="0" w:color="auto"/>
              <w:right w:val="nil"/>
            </w:tcBorders>
            <w:shd w:val="clear" w:color="auto" w:fill="auto"/>
            <w:noWrap/>
            <w:vAlign w:val="bottom"/>
          </w:tcPr>
          <w:p w14:paraId="64AFC08D" w14:textId="13D9B057" w:rsidR="00C42AF6" w:rsidRPr="00925374" w:rsidRDefault="00BA544B" w:rsidP="00C42AF6">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(101,639)</w:t>
            </w:r>
          </w:p>
        </w:tc>
      </w:tr>
      <w:tr w:rsidR="00C42AF6" w:rsidRPr="00290B01" w14:paraId="0E9F726B" w14:textId="77777777" w:rsidTr="00450F06">
        <w:trPr>
          <w:trHeight w:val="567"/>
        </w:trPr>
        <w:tc>
          <w:tcPr>
            <w:tcW w:w="3686" w:type="dxa"/>
            <w:tcBorders>
              <w:top w:val="single" w:sz="4" w:space="0" w:color="auto"/>
              <w:left w:val="nil"/>
              <w:right w:val="nil"/>
            </w:tcBorders>
            <w:shd w:val="clear" w:color="auto" w:fill="auto"/>
            <w:noWrap/>
            <w:vAlign w:val="bottom"/>
            <w:hideMark/>
          </w:tcPr>
          <w:p w14:paraId="53535EFD" w14:textId="673774AD" w:rsidR="00C42AF6" w:rsidRPr="00290B01" w:rsidRDefault="00C42AF6"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Net book value</w:t>
            </w:r>
          </w:p>
        </w:tc>
        <w:tc>
          <w:tcPr>
            <w:tcW w:w="1984" w:type="dxa"/>
            <w:tcBorders>
              <w:top w:val="single" w:sz="4" w:space="0" w:color="auto"/>
              <w:left w:val="nil"/>
              <w:right w:val="nil"/>
            </w:tcBorders>
            <w:shd w:val="clear" w:color="auto" w:fill="auto"/>
            <w:noWrap/>
            <w:vAlign w:val="bottom"/>
            <w:hideMark/>
          </w:tcPr>
          <w:p w14:paraId="406FE614" w14:textId="77777777" w:rsidR="00C42AF6" w:rsidRPr="00290B01" w:rsidRDefault="00C42AF6" w:rsidP="00C42AF6">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560" w:type="dxa"/>
            <w:tcBorders>
              <w:top w:val="single" w:sz="4" w:space="0" w:color="auto"/>
              <w:left w:val="nil"/>
              <w:right w:val="nil"/>
            </w:tcBorders>
            <w:shd w:val="clear" w:color="auto" w:fill="auto"/>
            <w:noWrap/>
            <w:vAlign w:val="bottom"/>
          </w:tcPr>
          <w:p w14:paraId="1FDA62C3" w14:textId="77777777" w:rsidR="00C42AF6" w:rsidRPr="00290B01" w:rsidRDefault="00C42AF6" w:rsidP="00C42AF6">
            <w:pPr>
              <w:jc w:val="right"/>
              <w:rPr>
                <w:rFonts w:eastAsia="Times New Roman" w:cs="Times New Roman"/>
                <w:b/>
                <w:bCs/>
                <w:color w:val="000000"/>
                <w:sz w:val="18"/>
                <w:szCs w:val="18"/>
                <w:lang w:eastAsia="en-GB"/>
              </w:rPr>
            </w:pPr>
          </w:p>
        </w:tc>
        <w:tc>
          <w:tcPr>
            <w:tcW w:w="1560" w:type="dxa"/>
            <w:tcBorders>
              <w:top w:val="single" w:sz="4" w:space="0" w:color="auto"/>
              <w:left w:val="nil"/>
              <w:right w:val="nil"/>
            </w:tcBorders>
            <w:shd w:val="clear" w:color="auto" w:fill="auto"/>
            <w:noWrap/>
            <w:vAlign w:val="bottom"/>
          </w:tcPr>
          <w:p w14:paraId="180B8FFC" w14:textId="504FDF3B" w:rsidR="00C42AF6" w:rsidRPr="00290B01" w:rsidRDefault="00C42AF6" w:rsidP="00C42AF6">
            <w:pPr>
              <w:jc w:val="right"/>
              <w:rPr>
                <w:rFonts w:eastAsia="Times New Roman" w:cs="Times New Roman"/>
                <w:b/>
                <w:bCs/>
                <w:color w:val="000000"/>
                <w:sz w:val="18"/>
                <w:szCs w:val="18"/>
                <w:lang w:val="en-US" w:eastAsia="en-GB"/>
              </w:rPr>
            </w:pPr>
          </w:p>
        </w:tc>
      </w:tr>
      <w:tr w:rsidR="00C42AF6" w:rsidRPr="00290B01" w14:paraId="00ED9711" w14:textId="77777777" w:rsidTr="00C42AF6">
        <w:trPr>
          <w:trHeight w:val="291"/>
        </w:trPr>
        <w:tc>
          <w:tcPr>
            <w:tcW w:w="3686" w:type="dxa"/>
            <w:tcBorders>
              <w:left w:val="nil"/>
              <w:bottom w:val="single" w:sz="4" w:space="0" w:color="auto"/>
              <w:right w:val="nil"/>
            </w:tcBorders>
            <w:shd w:val="clear" w:color="auto" w:fill="auto"/>
            <w:noWrap/>
            <w:vAlign w:val="bottom"/>
          </w:tcPr>
          <w:p w14:paraId="07703B00" w14:textId="066059D8" w:rsidR="00C42AF6" w:rsidRDefault="00C42AF6"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31 December 2018</w:t>
            </w:r>
          </w:p>
        </w:tc>
        <w:tc>
          <w:tcPr>
            <w:tcW w:w="1984" w:type="dxa"/>
            <w:tcBorders>
              <w:left w:val="nil"/>
              <w:bottom w:val="single" w:sz="4" w:space="0" w:color="auto"/>
              <w:right w:val="nil"/>
            </w:tcBorders>
            <w:shd w:val="clear" w:color="auto" w:fill="auto"/>
            <w:noWrap/>
            <w:vAlign w:val="bottom"/>
          </w:tcPr>
          <w:p w14:paraId="77942818" w14:textId="289B1878" w:rsidR="00C42AF6" w:rsidRPr="00703807" w:rsidRDefault="00450F06" w:rsidP="00C42AF6">
            <w:pPr>
              <w:jc w:val="right"/>
              <w:rPr>
                <w:rFonts w:eastAsia="Times New Roman" w:cs="Times New Roman"/>
                <w:color w:val="000000"/>
                <w:sz w:val="18"/>
                <w:szCs w:val="18"/>
                <w:lang w:eastAsia="en-GB"/>
              </w:rPr>
            </w:pPr>
            <w:r w:rsidRPr="00703807">
              <w:rPr>
                <w:rFonts w:eastAsia="Times New Roman" w:cs="Times New Roman"/>
                <w:color w:val="000000"/>
                <w:sz w:val="18"/>
                <w:szCs w:val="18"/>
                <w:lang w:eastAsia="en-GB"/>
              </w:rPr>
              <w:t>45,709</w:t>
            </w:r>
          </w:p>
        </w:tc>
        <w:tc>
          <w:tcPr>
            <w:tcW w:w="1560" w:type="dxa"/>
            <w:tcBorders>
              <w:left w:val="nil"/>
              <w:bottom w:val="single" w:sz="4" w:space="0" w:color="auto"/>
              <w:right w:val="nil"/>
            </w:tcBorders>
            <w:shd w:val="clear" w:color="auto" w:fill="auto"/>
            <w:noWrap/>
            <w:vAlign w:val="bottom"/>
          </w:tcPr>
          <w:p w14:paraId="09D30A4C" w14:textId="53A25DA2" w:rsidR="00C42AF6" w:rsidRPr="00703807" w:rsidRDefault="00450F06" w:rsidP="00C42AF6">
            <w:pPr>
              <w:jc w:val="right"/>
              <w:rPr>
                <w:rFonts w:eastAsia="Times New Roman" w:cs="Times New Roman"/>
                <w:color w:val="000000"/>
                <w:sz w:val="18"/>
                <w:szCs w:val="18"/>
                <w:lang w:eastAsia="en-GB"/>
              </w:rPr>
            </w:pPr>
            <w:r w:rsidRPr="00703807">
              <w:rPr>
                <w:rFonts w:eastAsia="Times New Roman" w:cs="Times New Roman"/>
                <w:color w:val="000000"/>
                <w:sz w:val="18"/>
                <w:szCs w:val="18"/>
                <w:lang w:eastAsia="en-GB"/>
              </w:rPr>
              <w:t>1,962</w:t>
            </w:r>
          </w:p>
        </w:tc>
        <w:tc>
          <w:tcPr>
            <w:tcW w:w="1560" w:type="dxa"/>
            <w:tcBorders>
              <w:left w:val="nil"/>
              <w:bottom w:val="single" w:sz="4" w:space="0" w:color="auto"/>
              <w:right w:val="nil"/>
            </w:tcBorders>
            <w:shd w:val="clear" w:color="auto" w:fill="auto"/>
            <w:noWrap/>
            <w:vAlign w:val="bottom"/>
          </w:tcPr>
          <w:p w14:paraId="003EB68B" w14:textId="601248EF" w:rsidR="00C42AF6" w:rsidRPr="00703807" w:rsidRDefault="00450F06" w:rsidP="00C42AF6">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47,671</w:t>
            </w:r>
          </w:p>
        </w:tc>
      </w:tr>
      <w:tr w:rsidR="00C42AF6" w:rsidRPr="00290B01" w14:paraId="43AB9C60" w14:textId="77777777" w:rsidTr="00C42AF6">
        <w:trPr>
          <w:trHeight w:val="300"/>
        </w:trPr>
        <w:tc>
          <w:tcPr>
            <w:tcW w:w="3686" w:type="dxa"/>
            <w:tcBorders>
              <w:top w:val="single" w:sz="4" w:space="0" w:color="auto"/>
              <w:left w:val="nil"/>
              <w:bottom w:val="double" w:sz="6" w:space="0" w:color="auto"/>
              <w:right w:val="nil"/>
            </w:tcBorders>
            <w:shd w:val="clear" w:color="auto" w:fill="auto"/>
            <w:noWrap/>
            <w:vAlign w:val="bottom"/>
          </w:tcPr>
          <w:p w14:paraId="0515C55E" w14:textId="02220831" w:rsidR="00C42AF6" w:rsidRPr="006304E8" w:rsidRDefault="00C42AF6"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31 December 2019</w:t>
            </w:r>
          </w:p>
        </w:tc>
        <w:tc>
          <w:tcPr>
            <w:tcW w:w="1984" w:type="dxa"/>
            <w:tcBorders>
              <w:top w:val="single" w:sz="4" w:space="0" w:color="auto"/>
              <w:left w:val="nil"/>
              <w:bottom w:val="double" w:sz="6" w:space="0" w:color="auto"/>
              <w:right w:val="nil"/>
            </w:tcBorders>
            <w:shd w:val="clear" w:color="auto" w:fill="auto"/>
            <w:noWrap/>
            <w:vAlign w:val="bottom"/>
          </w:tcPr>
          <w:p w14:paraId="2F4164D1" w14:textId="6EBDC85B" w:rsidR="00C42AF6" w:rsidRPr="00290B01" w:rsidRDefault="00BA544B" w:rsidP="00C42AF6">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21,909</w:t>
            </w:r>
          </w:p>
        </w:tc>
        <w:tc>
          <w:tcPr>
            <w:tcW w:w="1560" w:type="dxa"/>
            <w:tcBorders>
              <w:top w:val="single" w:sz="4" w:space="0" w:color="auto"/>
              <w:left w:val="nil"/>
              <w:bottom w:val="double" w:sz="6" w:space="0" w:color="auto"/>
              <w:right w:val="nil"/>
            </w:tcBorders>
            <w:shd w:val="clear" w:color="auto" w:fill="auto"/>
            <w:noWrap/>
            <w:vAlign w:val="bottom"/>
          </w:tcPr>
          <w:p w14:paraId="7AC56C35" w14:textId="0E591468" w:rsidR="00C42AF6" w:rsidRPr="00290B01" w:rsidRDefault="00BA544B" w:rsidP="00C42AF6">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877</w:t>
            </w:r>
          </w:p>
        </w:tc>
        <w:tc>
          <w:tcPr>
            <w:tcW w:w="1560" w:type="dxa"/>
            <w:tcBorders>
              <w:top w:val="single" w:sz="4" w:space="0" w:color="auto"/>
              <w:left w:val="nil"/>
              <w:bottom w:val="double" w:sz="6" w:space="0" w:color="auto"/>
              <w:right w:val="nil"/>
            </w:tcBorders>
            <w:shd w:val="clear" w:color="auto" w:fill="auto"/>
            <w:noWrap/>
            <w:vAlign w:val="bottom"/>
          </w:tcPr>
          <w:p w14:paraId="02D515A2" w14:textId="06112C6F" w:rsidR="00C42AF6" w:rsidRDefault="00BA544B" w:rsidP="00C42AF6">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22,786</w:t>
            </w:r>
          </w:p>
        </w:tc>
      </w:tr>
    </w:tbl>
    <w:p w14:paraId="05B26202" w14:textId="276697A8" w:rsidR="006304E8" w:rsidRDefault="006304E8" w:rsidP="006304E8">
      <w:pPr>
        <w:spacing w:before="120" w:after="120"/>
        <w:rPr>
          <w:b/>
          <w:bCs/>
          <w:sz w:val="18"/>
          <w:szCs w:val="18"/>
          <w:lang w:val="en-US"/>
        </w:rPr>
      </w:pPr>
    </w:p>
    <w:p w14:paraId="25D4D2F6" w14:textId="3A554C21" w:rsidR="006304E8" w:rsidRDefault="00450F06" w:rsidP="00D20412">
      <w:pPr>
        <w:pStyle w:val="ListParagraph"/>
        <w:numPr>
          <w:ilvl w:val="0"/>
          <w:numId w:val="1"/>
        </w:numPr>
        <w:spacing w:before="120" w:after="120"/>
        <w:outlineLvl w:val="0"/>
        <w:rPr>
          <w:b/>
          <w:bCs/>
          <w:sz w:val="18"/>
          <w:szCs w:val="18"/>
          <w:lang w:val="en-US"/>
        </w:rPr>
      </w:pPr>
      <w:bookmarkStart w:id="54" w:name="_Toc57894898"/>
      <w:r>
        <w:rPr>
          <w:b/>
          <w:bCs/>
          <w:sz w:val="18"/>
          <w:szCs w:val="18"/>
          <w:lang w:val="en-US"/>
        </w:rPr>
        <w:t>Investment property</w:t>
      </w:r>
      <w:bookmarkEnd w:id="54"/>
    </w:p>
    <w:p w14:paraId="7556589E" w14:textId="48FB657C" w:rsidR="00450F06" w:rsidRDefault="00450F06" w:rsidP="00450F06">
      <w:pPr>
        <w:spacing w:before="120" w:after="120"/>
        <w:jc w:val="both"/>
        <w:rPr>
          <w:sz w:val="18"/>
          <w:szCs w:val="18"/>
          <w:lang w:val="en-US"/>
        </w:rPr>
      </w:pPr>
      <w:r>
        <w:rPr>
          <w:sz w:val="18"/>
          <w:szCs w:val="18"/>
          <w:lang w:val="en-US"/>
        </w:rPr>
        <w:t>Investment property includes the building located in Baku and leased to “</w:t>
      </w:r>
      <w:proofErr w:type="spellStart"/>
      <w:r>
        <w:rPr>
          <w:sz w:val="18"/>
          <w:szCs w:val="18"/>
          <w:lang w:val="en-US"/>
        </w:rPr>
        <w:t>MediClub</w:t>
      </w:r>
      <w:proofErr w:type="spellEnd"/>
      <w:r>
        <w:rPr>
          <w:sz w:val="18"/>
          <w:szCs w:val="18"/>
          <w:lang w:val="en-US"/>
        </w:rPr>
        <w:t xml:space="preserve"> Dental” LLC, a related party. If premises were measured using the cost model, the items of the statement of financial position would be carried at 79 thousand </w:t>
      </w:r>
      <w:proofErr w:type="spellStart"/>
      <w:r>
        <w:rPr>
          <w:sz w:val="18"/>
          <w:szCs w:val="18"/>
          <w:lang w:val="en-US"/>
        </w:rPr>
        <w:t>manats</w:t>
      </w:r>
      <w:proofErr w:type="spellEnd"/>
      <w:r>
        <w:rPr>
          <w:sz w:val="18"/>
          <w:szCs w:val="18"/>
          <w:lang w:val="en-US"/>
        </w:rPr>
        <w:t xml:space="preserve"> as at 31 December 2019 and 87 thousand </w:t>
      </w:r>
      <w:proofErr w:type="spellStart"/>
      <w:r>
        <w:rPr>
          <w:sz w:val="18"/>
          <w:szCs w:val="18"/>
          <w:lang w:val="en-US"/>
        </w:rPr>
        <w:t>manats</w:t>
      </w:r>
      <w:proofErr w:type="spellEnd"/>
      <w:r>
        <w:rPr>
          <w:sz w:val="18"/>
          <w:szCs w:val="18"/>
          <w:lang w:val="en-US"/>
        </w:rPr>
        <w:t xml:space="preserve"> as at 31 December 2018.</w:t>
      </w:r>
    </w:p>
    <w:p w14:paraId="6F7131DE" w14:textId="49C0FDE1" w:rsidR="00450F06" w:rsidRDefault="00450F06" w:rsidP="00450F06">
      <w:pPr>
        <w:spacing w:before="120" w:after="120"/>
        <w:jc w:val="both"/>
        <w:rPr>
          <w:sz w:val="18"/>
          <w:szCs w:val="18"/>
          <w:lang w:val="en-US"/>
        </w:rPr>
      </w:pPr>
      <w:r>
        <w:rPr>
          <w:sz w:val="18"/>
          <w:szCs w:val="18"/>
          <w:lang w:val="en-US"/>
        </w:rPr>
        <w:t xml:space="preserve">The reassessment of the building took place on 15 March 2010 by an independent valuer “Kaneko Group” specifically for preparation of the financial statements. </w:t>
      </w:r>
    </w:p>
    <w:p w14:paraId="1A56BA0D" w14:textId="55A5899E" w:rsidR="00450F06" w:rsidRDefault="00450F06" w:rsidP="00450F06">
      <w:pPr>
        <w:spacing w:before="120" w:after="120"/>
        <w:jc w:val="both"/>
        <w:rPr>
          <w:sz w:val="18"/>
          <w:szCs w:val="18"/>
          <w:lang w:val="en-US"/>
        </w:rPr>
      </w:pPr>
      <w:r>
        <w:rPr>
          <w:sz w:val="18"/>
          <w:szCs w:val="18"/>
          <w:lang w:val="en-US"/>
        </w:rPr>
        <w:t>On 12 May 2018 the Company acquire</w:t>
      </w:r>
      <w:r w:rsidR="00154347">
        <w:rPr>
          <w:sz w:val="18"/>
          <w:szCs w:val="18"/>
          <w:lang w:val="en-US"/>
        </w:rPr>
        <w:t>d</w:t>
      </w:r>
      <w:r>
        <w:rPr>
          <w:sz w:val="18"/>
          <w:szCs w:val="18"/>
          <w:lang w:val="en-US"/>
        </w:rPr>
        <w:t xml:space="preserve"> a building amounting 1 million </w:t>
      </w:r>
      <w:proofErr w:type="spellStart"/>
      <w:r>
        <w:rPr>
          <w:sz w:val="18"/>
          <w:szCs w:val="18"/>
          <w:lang w:val="en-US"/>
        </w:rPr>
        <w:t>manats</w:t>
      </w:r>
      <w:proofErr w:type="spellEnd"/>
      <w:r w:rsidR="00154347">
        <w:rPr>
          <w:sz w:val="18"/>
          <w:szCs w:val="18"/>
          <w:lang w:val="en-US"/>
        </w:rPr>
        <w:t>. The Company</w:t>
      </w:r>
      <w:r>
        <w:rPr>
          <w:sz w:val="18"/>
          <w:szCs w:val="18"/>
          <w:lang w:val="en-US"/>
        </w:rPr>
        <w:t xml:space="preserve"> spent additional </w:t>
      </w:r>
      <w:r w:rsidR="00BA544B">
        <w:rPr>
          <w:sz w:val="18"/>
          <w:szCs w:val="18"/>
          <w:lang w:val="en-US"/>
        </w:rPr>
        <w:t>639</w:t>
      </w:r>
      <w:r>
        <w:rPr>
          <w:sz w:val="18"/>
          <w:szCs w:val="18"/>
          <w:lang w:val="en-US"/>
        </w:rPr>
        <w:t xml:space="preserve"> thousand </w:t>
      </w:r>
      <w:proofErr w:type="spellStart"/>
      <w:r>
        <w:rPr>
          <w:sz w:val="18"/>
          <w:szCs w:val="18"/>
          <w:lang w:val="en-US"/>
        </w:rPr>
        <w:t>manats</w:t>
      </w:r>
      <w:proofErr w:type="spellEnd"/>
      <w:r>
        <w:rPr>
          <w:sz w:val="18"/>
          <w:szCs w:val="18"/>
          <w:lang w:val="en-US"/>
        </w:rPr>
        <w:t xml:space="preserve"> for overhaul of the premises</w:t>
      </w:r>
      <w:r w:rsidR="00154347">
        <w:rPr>
          <w:sz w:val="18"/>
          <w:szCs w:val="18"/>
          <w:lang w:val="en-US"/>
        </w:rPr>
        <w:t xml:space="preserve"> during 2018-2019. </w:t>
      </w:r>
      <w:r w:rsidR="00FA6665">
        <w:rPr>
          <w:sz w:val="18"/>
          <w:szCs w:val="18"/>
          <w:lang w:val="en-US"/>
        </w:rPr>
        <w:t>On 1 July t</w:t>
      </w:r>
      <w:r w:rsidR="00FA6665" w:rsidRPr="00FA6665">
        <w:rPr>
          <w:sz w:val="18"/>
          <w:szCs w:val="18"/>
          <w:lang w:val="en-US"/>
        </w:rPr>
        <w:t xml:space="preserve">he renovated building was leased </w:t>
      </w:r>
      <w:r w:rsidR="00154347">
        <w:rPr>
          <w:sz w:val="18"/>
          <w:szCs w:val="18"/>
          <w:lang w:val="en-US"/>
        </w:rPr>
        <w:t>out to “</w:t>
      </w:r>
      <w:proofErr w:type="spellStart"/>
      <w:r w:rsidR="00154347">
        <w:rPr>
          <w:sz w:val="18"/>
          <w:szCs w:val="18"/>
          <w:lang w:val="en-US"/>
        </w:rPr>
        <w:t>MediClub</w:t>
      </w:r>
      <w:proofErr w:type="spellEnd"/>
      <w:r w:rsidR="00154347">
        <w:rPr>
          <w:sz w:val="18"/>
          <w:szCs w:val="18"/>
          <w:lang w:val="en-US"/>
        </w:rPr>
        <w:t xml:space="preserve">” LLC, a related party, </w:t>
      </w:r>
      <w:r w:rsidR="00FA6665" w:rsidRPr="00FA6665">
        <w:rPr>
          <w:sz w:val="18"/>
          <w:szCs w:val="18"/>
          <w:lang w:val="en-US"/>
        </w:rPr>
        <w:t>for a period of 10 years</w:t>
      </w:r>
      <w:r w:rsidR="00FA6665">
        <w:rPr>
          <w:sz w:val="18"/>
          <w:szCs w:val="18"/>
          <w:lang w:val="en-US"/>
        </w:rPr>
        <w:t xml:space="preserve">. Monthly lease payment is AZN 8,000. </w:t>
      </w:r>
    </w:p>
    <w:p w14:paraId="434D9F53" w14:textId="26042E5E" w:rsidR="00FA6665" w:rsidRDefault="00FA6665" w:rsidP="00450F06">
      <w:pPr>
        <w:spacing w:before="120" w:after="120"/>
        <w:jc w:val="both"/>
        <w:rPr>
          <w:sz w:val="18"/>
          <w:szCs w:val="18"/>
          <w:lang w:val="en-US"/>
        </w:rPr>
      </w:pPr>
      <w:r>
        <w:rPr>
          <w:sz w:val="18"/>
          <w:szCs w:val="18"/>
          <w:lang w:val="en-US"/>
        </w:rPr>
        <w:t>For the year ended 31 December 2019 the Co</w:t>
      </w:r>
      <w:r w:rsidRPr="00FA6665">
        <w:rPr>
          <w:sz w:val="18"/>
          <w:szCs w:val="18"/>
          <w:lang w:val="en-US"/>
        </w:rPr>
        <w:t xml:space="preserve">mpany </w:t>
      </w:r>
      <w:proofErr w:type="spellStart"/>
      <w:r w:rsidRPr="00FA6665">
        <w:rPr>
          <w:sz w:val="18"/>
          <w:szCs w:val="18"/>
          <w:lang w:val="en-US"/>
        </w:rPr>
        <w:t>recogni</w:t>
      </w:r>
      <w:r>
        <w:rPr>
          <w:sz w:val="18"/>
          <w:szCs w:val="18"/>
          <w:lang w:val="en-US"/>
        </w:rPr>
        <w:t>s</w:t>
      </w:r>
      <w:r w:rsidRPr="00FA6665">
        <w:rPr>
          <w:sz w:val="18"/>
          <w:szCs w:val="18"/>
          <w:lang w:val="en-US"/>
        </w:rPr>
        <w:t>ed</w:t>
      </w:r>
      <w:proofErr w:type="spellEnd"/>
      <w:r w:rsidRPr="00FA6665">
        <w:rPr>
          <w:sz w:val="18"/>
          <w:szCs w:val="18"/>
          <w:lang w:val="en-US"/>
        </w:rPr>
        <w:t xml:space="preserve"> income from operating lease in the amount of</w:t>
      </w:r>
      <w:r w:rsidR="005E1DB3">
        <w:rPr>
          <w:sz w:val="18"/>
          <w:szCs w:val="18"/>
          <w:lang w:val="en-US"/>
        </w:rPr>
        <w:t xml:space="preserve"> AZN 48,000. </w:t>
      </w:r>
    </w:p>
    <w:p w14:paraId="3035E050" w14:textId="77777777" w:rsidR="005E1DB3" w:rsidRDefault="005E1DB3" w:rsidP="005E1DB3">
      <w:pPr>
        <w:spacing w:before="120" w:after="120"/>
        <w:jc w:val="both"/>
        <w:rPr>
          <w:sz w:val="18"/>
          <w:szCs w:val="18"/>
          <w:lang w:val="en-US"/>
        </w:rPr>
      </w:pPr>
      <w:r>
        <w:rPr>
          <w:sz w:val="18"/>
          <w:szCs w:val="18"/>
          <w:lang w:val="en-US"/>
        </w:rPr>
        <w:t xml:space="preserve">The management believes that investment property has been presented at fair value based on </w:t>
      </w:r>
      <w:proofErr w:type="spellStart"/>
      <w:proofErr w:type="gramStart"/>
      <w:r>
        <w:rPr>
          <w:sz w:val="18"/>
          <w:szCs w:val="18"/>
          <w:lang w:val="en-US"/>
        </w:rPr>
        <w:t>it</w:t>
      </w:r>
      <w:proofErr w:type="spellEnd"/>
      <w:proofErr w:type="gramEnd"/>
      <w:r>
        <w:rPr>
          <w:sz w:val="18"/>
          <w:szCs w:val="18"/>
          <w:lang w:val="en-US"/>
        </w:rPr>
        <w:t xml:space="preserve"> market value as of 31 December 2019 and 2018.</w:t>
      </w:r>
    </w:p>
    <w:p w14:paraId="75FCA1B2" w14:textId="593AB06E" w:rsidR="005E1DB3" w:rsidRPr="005E1DB3" w:rsidRDefault="005E1DB3" w:rsidP="00D20412">
      <w:pPr>
        <w:pStyle w:val="ListParagraph"/>
        <w:numPr>
          <w:ilvl w:val="0"/>
          <w:numId w:val="1"/>
        </w:numPr>
        <w:spacing w:before="120" w:after="120"/>
        <w:outlineLvl w:val="0"/>
        <w:rPr>
          <w:b/>
          <w:bCs/>
          <w:sz w:val="18"/>
          <w:szCs w:val="18"/>
          <w:lang w:val="en-US"/>
        </w:rPr>
      </w:pPr>
      <w:bookmarkStart w:id="55" w:name="_Toc57894899"/>
      <w:r>
        <w:rPr>
          <w:b/>
          <w:bCs/>
          <w:sz w:val="18"/>
          <w:szCs w:val="18"/>
          <w:lang w:val="en-US"/>
        </w:rPr>
        <w:lastRenderedPageBreak/>
        <w:t>Right-of-use assets</w:t>
      </w:r>
      <w:bookmarkEnd w:id="55"/>
    </w:p>
    <w:p w14:paraId="0D8334F2" w14:textId="02DDA161" w:rsidR="005E1DB3" w:rsidRPr="005E1DB3" w:rsidRDefault="00D20412" w:rsidP="005E1DB3">
      <w:pPr>
        <w:spacing w:before="120" w:after="120"/>
        <w:jc w:val="both"/>
        <w:rPr>
          <w:sz w:val="18"/>
          <w:szCs w:val="18"/>
        </w:rPr>
      </w:pPr>
      <w:r>
        <w:rPr>
          <w:sz w:val="18"/>
          <w:szCs w:val="18"/>
        </w:rPr>
        <w:t>Starting from 28 June 2018 t</w:t>
      </w:r>
      <w:r w:rsidR="005E1DB3" w:rsidRPr="005E1DB3">
        <w:rPr>
          <w:sz w:val="18"/>
          <w:szCs w:val="18"/>
        </w:rPr>
        <w:t xml:space="preserve">he Company has leases of </w:t>
      </w:r>
      <w:r w:rsidR="005E1DB3">
        <w:rPr>
          <w:sz w:val="18"/>
          <w:szCs w:val="18"/>
        </w:rPr>
        <w:t>office</w:t>
      </w:r>
      <w:r w:rsidR="005E1DB3" w:rsidRPr="005E1DB3">
        <w:rPr>
          <w:sz w:val="18"/>
          <w:szCs w:val="18"/>
        </w:rPr>
        <w:t xml:space="preserve"> premise</w:t>
      </w:r>
      <w:r>
        <w:rPr>
          <w:sz w:val="18"/>
          <w:szCs w:val="18"/>
        </w:rPr>
        <w:t xml:space="preserve"> for the period of 3 year</w:t>
      </w:r>
      <w:r w:rsidR="005E1DB3">
        <w:rPr>
          <w:sz w:val="18"/>
          <w:szCs w:val="18"/>
        </w:rPr>
        <w:t>. H</w:t>
      </w:r>
      <w:r w:rsidR="005E1DB3" w:rsidRPr="005E1DB3">
        <w:rPr>
          <w:sz w:val="18"/>
          <w:szCs w:val="18"/>
        </w:rPr>
        <w:t>aving analysed the lease</w:t>
      </w:r>
      <w:r>
        <w:rPr>
          <w:sz w:val="18"/>
          <w:szCs w:val="18"/>
        </w:rPr>
        <w:t xml:space="preserve"> agreement</w:t>
      </w:r>
      <w:r w:rsidR="005E1DB3">
        <w:rPr>
          <w:sz w:val="18"/>
          <w:szCs w:val="18"/>
        </w:rPr>
        <w:t>,</w:t>
      </w:r>
      <w:r w:rsidR="005E1DB3" w:rsidRPr="005E1DB3">
        <w:rPr>
          <w:sz w:val="18"/>
          <w:szCs w:val="18"/>
        </w:rPr>
        <w:t xml:space="preserve"> the Company decided on recognising the lease liability at the date of IFRS 16 initial application of the lease payments at the present value discounted at the rate of raising additional borrowed funds as of IFRS 16 initial application date. </w:t>
      </w:r>
    </w:p>
    <w:p w14:paraId="7D92EE75" w14:textId="586E4158" w:rsidR="005E1DB3" w:rsidRPr="005E1DB3" w:rsidRDefault="005E1DB3" w:rsidP="005E1DB3">
      <w:pPr>
        <w:spacing w:before="120" w:after="120"/>
        <w:jc w:val="both"/>
        <w:rPr>
          <w:sz w:val="18"/>
          <w:szCs w:val="18"/>
        </w:rPr>
      </w:pPr>
      <w:r w:rsidRPr="005E1DB3">
        <w:rPr>
          <w:sz w:val="18"/>
          <w:szCs w:val="18"/>
        </w:rPr>
        <w:t xml:space="preserve">The weighted average rate for raising additional borrowed funds applied by the Company to lease liabilities at the date of the standard initial application is </w:t>
      </w:r>
      <w:r>
        <w:rPr>
          <w:sz w:val="18"/>
          <w:szCs w:val="18"/>
        </w:rPr>
        <w:t>20.03</w:t>
      </w:r>
      <w:r w:rsidRPr="005E1DB3">
        <w:rPr>
          <w:sz w:val="18"/>
          <w:szCs w:val="18"/>
        </w:rPr>
        <w:t>%</w:t>
      </w:r>
      <w:r>
        <w:rPr>
          <w:sz w:val="18"/>
          <w:szCs w:val="18"/>
        </w:rPr>
        <w:t xml:space="preserve"> (based on Central Bank of Azerbaijan a</w:t>
      </w:r>
      <w:r w:rsidRPr="005E1DB3">
        <w:rPr>
          <w:sz w:val="18"/>
          <w:szCs w:val="18"/>
        </w:rPr>
        <w:t>verage interest rates on deposits and loans</w:t>
      </w:r>
      <w:r>
        <w:rPr>
          <w:sz w:val="18"/>
          <w:szCs w:val="18"/>
        </w:rPr>
        <w:t>)</w:t>
      </w:r>
      <w:r w:rsidRPr="005E1DB3">
        <w:rPr>
          <w:sz w:val="18"/>
          <w:szCs w:val="18"/>
        </w:rPr>
        <w:t>.</w:t>
      </w:r>
    </w:p>
    <w:p w14:paraId="08D2EC17" w14:textId="212F697D" w:rsidR="005E1DB3" w:rsidRPr="005E1DB3" w:rsidRDefault="005E1DB3" w:rsidP="005E1DB3">
      <w:pPr>
        <w:spacing w:before="120" w:after="120"/>
        <w:jc w:val="both"/>
        <w:rPr>
          <w:sz w:val="18"/>
          <w:szCs w:val="18"/>
        </w:rPr>
      </w:pPr>
      <w:r w:rsidRPr="005E1DB3">
        <w:rPr>
          <w:sz w:val="18"/>
          <w:szCs w:val="18"/>
        </w:rPr>
        <w:t xml:space="preserve">IFRS 16 application to a lease previously classified as an operating lease under IAS 17 resulted in recognising the right-of-use asset </w:t>
      </w:r>
      <w:r>
        <w:rPr>
          <w:sz w:val="18"/>
          <w:szCs w:val="18"/>
        </w:rPr>
        <w:t xml:space="preserve">in amount of </w:t>
      </w:r>
      <w:r w:rsidR="007E5EAC">
        <w:rPr>
          <w:sz w:val="18"/>
          <w:szCs w:val="18"/>
        </w:rPr>
        <w:t xml:space="preserve">AZN 205,831 </w:t>
      </w:r>
      <w:r w:rsidRPr="005E1DB3">
        <w:rPr>
          <w:sz w:val="18"/>
          <w:szCs w:val="18"/>
        </w:rPr>
        <w:t xml:space="preserve">and lease liabilities </w:t>
      </w:r>
      <w:r w:rsidR="007E5EAC">
        <w:rPr>
          <w:sz w:val="18"/>
          <w:szCs w:val="18"/>
        </w:rPr>
        <w:t>in amount of AZN 216,985 on the date of implementation</w:t>
      </w:r>
      <w:r w:rsidRPr="005E1DB3">
        <w:rPr>
          <w:sz w:val="18"/>
          <w:szCs w:val="18"/>
        </w:rPr>
        <w:t xml:space="preserve">. </w:t>
      </w:r>
    </w:p>
    <w:p w14:paraId="57B2051B" w14:textId="027BD6D9" w:rsidR="005E1DB3" w:rsidRDefault="005E1DB3" w:rsidP="005E1DB3">
      <w:pPr>
        <w:spacing w:before="120" w:after="120"/>
        <w:jc w:val="both"/>
        <w:rPr>
          <w:sz w:val="18"/>
          <w:szCs w:val="18"/>
        </w:rPr>
      </w:pPr>
      <w:r w:rsidRPr="005E1DB3">
        <w:rPr>
          <w:sz w:val="18"/>
          <w:szCs w:val="18"/>
        </w:rPr>
        <w:t xml:space="preserve">During the reporting period, the IFRS 16 application also resulted in a decrease in rental expenses by </w:t>
      </w:r>
      <w:r w:rsidR="007E5EAC">
        <w:rPr>
          <w:sz w:val="18"/>
          <w:szCs w:val="18"/>
        </w:rPr>
        <w:t>AZN 114,000</w:t>
      </w:r>
      <w:r w:rsidRPr="005E1DB3">
        <w:rPr>
          <w:sz w:val="18"/>
          <w:szCs w:val="18"/>
        </w:rPr>
        <w:t xml:space="preserve"> and an increase in depreciation by </w:t>
      </w:r>
      <w:r w:rsidR="007E5EAC">
        <w:rPr>
          <w:sz w:val="18"/>
          <w:szCs w:val="18"/>
        </w:rPr>
        <w:t>AZN 85,171</w:t>
      </w:r>
      <w:r w:rsidRPr="005E1DB3">
        <w:rPr>
          <w:sz w:val="18"/>
          <w:szCs w:val="18"/>
        </w:rPr>
        <w:t xml:space="preserve"> thousand tenge and interest expenses by </w:t>
      </w:r>
      <w:r w:rsidR="007E5EAC">
        <w:rPr>
          <w:sz w:val="18"/>
          <w:szCs w:val="18"/>
        </w:rPr>
        <w:t>AZN 36,616</w:t>
      </w:r>
      <w:r w:rsidRPr="005E1DB3">
        <w:rPr>
          <w:sz w:val="18"/>
          <w:szCs w:val="18"/>
        </w:rPr>
        <w:t>.</w:t>
      </w:r>
    </w:p>
    <w:p w14:paraId="63EDF6FB" w14:textId="77777777" w:rsidR="00074275" w:rsidRPr="005E1DB3" w:rsidRDefault="00074275" w:rsidP="005E1DB3">
      <w:pPr>
        <w:spacing w:before="120" w:after="120"/>
        <w:jc w:val="both"/>
        <w:rPr>
          <w:sz w:val="18"/>
          <w:szCs w:val="18"/>
        </w:rPr>
      </w:pPr>
    </w:p>
    <w:p w14:paraId="5C6037B8" w14:textId="3EAB79EB" w:rsidR="006304E8" w:rsidRDefault="00D20412" w:rsidP="00D20412">
      <w:pPr>
        <w:pStyle w:val="ListParagraph"/>
        <w:numPr>
          <w:ilvl w:val="0"/>
          <w:numId w:val="1"/>
        </w:numPr>
        <w:spacing w:before="120" w:after="120"/>
        <w:outlineLvl w:val="0"/>
        <w:rPr>
          <w:b/>
          <w:bCs/>
          <w:sz w:val="18"/>
          <w:szCs w:val="18"/>
          <w:lang w:val="en-US"/>
        </w:rPr>
      </w:pPr>
      <w:bookmarkStart w:id="56" w:name="_Toc57894900"/>
      <w:r>
        <w:rPr>
          <w:b/>
          <w:bCs/>
          <w:sz w:val="18"/>
          <w:szCs w:val="18"/>
          <w:lang w:val="en-US"/>
        </w:rPr>
        <w:t>Deferred tax</w:t>
      </w:r>
      <w:bookmarkEnd w:id="56"/>
    </w:p>
    <w:p w14:paraId="53710C34" w14:textId="6C89E260" w:rsidR="00D20412" w:rsidRPr="00D20412" w:rsidRDefault="00D20412" w:rsidP="00D20412">
      <w:pPr>
        <w:spacing w:before="120" w:after="120"/>
        <w:rPr>
          <w:sz w:val="18"/>
          <w:szCs w:val="18"/>
          <w:lang w:val="en-US"/>
        </w:rPr>
      </w:pPr>
      <w:r w:rsidRPr="00D20412">
        <w:rPr>
          <w:sz w:val="18"/>
          <w:szCs w:val="18"/>
          <w:lang w:val="en-US"/>
        </w:rPr>
        <w:t>Income tax expenses comprise the following:</w:t>
      </w:r>
    </w:p>
    <w:tbl>
      <w:tblPr>
        <w:tblW w:w="8789" w:type="dxa"/>
        <w:tblLook w:val="04A0" w:firstRow="1" w:lastRow="0" w:firstColumn="1" w:lastColumn="0" w:noHBand="0" w:noVBand="1"/>
      </w:tblPr>
      <w:tblGrid>
        <w:gridCol w:w="5245"/>
        <w:gridCol w:w="709"/>
        <w:gridCol w:w="1275"/>
        <w:gridCol w:w="1560"/>
      </w:tblGrid>
      <w:tr w:rsidR="00D20412" w:rsidRPr="00290B01" w14:paraId="05051F54" w14:textId="77777777" w:rsidTr="00CD3678">
        <w:trPr>
          <w:trHeight w:val="305"/>
        </w:trPr>
        <w:tc>
          <w:tcPr>
            <w:tcW w:w="5245" w:type="dxa"/>
            <w:tcBorders>
              <w:top w:val="nil"/>
              <w:left w:val="nil"/>
              <w:bottom w:val="single" w:sz="8" w:space="0" w:color="auto"/>
              <w:right w:val="nil"/>
            </w:tcBorders>
            <w:shd w:val="clear" w:color="auto" w:fill="auto"/>
            <w:noWrap/>
            <w:vAlign w:val="center"/>
            <w:hideMark/>
          </w:tcPr>
          <w:p w14:paraId="0B9944C8" w14:textId="77777777" w:rsidR="00D20412" w:rsidRPr="00290B01" w:rsidRDefault="00D20412"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11F0672E" w14:textId="77777777" w:rsidR="00D20412" w:rsidRPr="00290B01" w:rsidRDefault="00D20412"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4EB2FDDE" w14:textId="77777777" w:rsidR="00D20412" w:rsidRPr="00290B01" w:rsidRDefault="00D20412"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43C2034B" w14:textId="77777777" w:rsidR="00D20412" w:rsidRPr="00290B01" w:rsidRDefault="00D20412"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2018</w:t>
            </w:r>
          </w:p>
        </w:tc>
      </w:tr>
      <w:tr w:rsidR="00D20412" w:rsidRPr="00290B01" w14:paraId="03424AF5" w14:textId="77777777" w:rsidTr="00CD3678">
        <w:trPr>
          <w:trHeight w:val="288"/>
        </w:trPr>
        <w:tc>
          <w:tcPr>
            <w:tcW w:w="5245" w:type="dxa"/>
            <w:tcBorders>
              <w:top w:val="nil"/>
              <w:left w:val="nil"/>
              <w:bottom w:val="nil"/>
              <w:right w:val="nil"/>
            </w:tcBorders>
            <w:shd w:val="clear" w:color="auto" w:fill="auto"/>
            <w:noWrap/>
            <w:vAlign w:val="bottom"/>
            <w:hideMark/>
          </w:tcPr>
          <w:p w14:paraId="308F8D24" w14:textId="69BCCA54" w:rsidR="00D20412" w:rsidRPr="00290B01" w:rsidRDefault="00D20412" w:rsidP="00CD3678">
            <w:pPr>
              <w:rPr>
                <w:rFonts w:eastAsia="Times New Roman" w:cs="Times New Roman"/>
                <w:color w:val="000000"/>
                <w:sz w:val="18"/>
                <w:szCs w:val="18"/>
                <w:lang w:eastAsia="en-GB"/>
              </w:rPr>
            </w:pPr>
            <w:r>
              <w:rPr>
                <w:rFonts w:eastAsia="Times New Roman" w:cs="Times New Roman"/>
                <w:color w:val="000000"/>
                <w:sz w:val="18"/>
                <w:szCs w:val="18"/>
                <w:lang w:eastAsia="en-GB"/>
              </w:rPr>
              <w:t>Current income tax charge</w:t>
            </w:r>
          </w:p>
        </w:tc>
        <w:tc>
          <w:tcPr>
            <w:tcW w:w="709" w:type="dxa"/>
            <w:tcBorders>
              <w:top w:val="nil"/>
              <w:left w:val="nil"/>
              <w:bottom w:val="nil"/>
              <w:right w:val="nil"/>
            </w:tcBorders>
            <w:shd w:val="clear" w:color="auto" w:fill="auto"/>
            <w:noWrap/>
            <w:vAlign w:val="bottom"/>
            <w:hideMark/>
          </w:tcPr>
          <w:p w14:paraId="0E267DB1" w14:textId="77777777" w:rsidR="00D20412" w:rsidRPr="00290B01" w:rsidRDefault="00D20412"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75B09A15" w14:textId="6B7D383D" w:rsidR="00D20412" w:rsidRPr="00290B01" w:rsidRDefault="007F7170" w:rsidP="00CD3678">
            <w:pPr>
              <w:jc w:val="right"/>
              <w:rPr>
                <w:rFonts w:eastAsia="Times New Roman" w:cs="Times New Roman"/>
                <w:sz w:val="18"/>
                <w:szCs w:val="18"/>
                <w:lang w:eastAsia="en-GB"/>
              </w:rPr>
            </w:pPr>
            <w:r>
              <w:rPr>
                <w:rFonts w:eastAsia="Times New Roman" w:cs="Times New Roman"/>
                <w:sz w:val="18"/>
                <w:szCs w:val="18"/>
                <w:lang w:eastAsia="en-GB"/>
              </w:rPr>
              <w:t>406,281</w:t>
            </w:r>
          </w:p>
        </w:tc>
        <w:tc>
          <w:tcPr>
            <w:tcW w:w="1560" w:type="dxa"/>
            <w:tcBorders>
              <w:top w:val="nil"/>
              <w:left w:val="nil"/>
              <w:bottom w:val="nil"/>
              <w:right w:val="nil"/>
            </w:tcBorders>
            <w:shd w:val="clear" w:color="auto" w:fill="auto"/>
            <w:noWrap/>
            <w:vAlign w:val="bottom"/>
          </w:tcPr>
          <w:p w14:paraId="13140CF8" w14:textId="22C523C3" w:rsidR="00D20412" w:rsidRPr="00290B01" w:rsidRDefault="00D20412" w:rsidP="00CD3678">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540,864</w:t>
            </w:r>
          </w:p>
        </w:tc>
      </w:tr>
      <w:tr w:rsidR="00D20412" w:rsidRPr="00290B01" w14:paraId="65F9F395" w14:textId="77777777" w:rsidTr="00CD3678">
        <w:trPr>
          <w:trHeight w:val="288"/>
        </w:trPr>
        <w:tc>
          <w:tcPr>
            <w:tcW w:w="5245" w:type="dxa"/>
            <w:tcBorders>
              <w:top w:val="nil"/>
              <w:left w:val="nil"/>
              <w:bottom w:val="nil"/>
              <w:right w:val="nil"/>
            </w:tcBorders>
            <w:shd w:val="clear" w:color="auto" w:fill="auto"/>
            <w:noWrap/>
            <w:vAlign w:val="bottom"/>
          </w:tcPr>
          <w:p w14:paraId="489D812C" w14:textId="66544225" w:rsidR="00D20412" w:rsidRPr="00E209F8" w:rsidRDefault="00D20412" w:rsidP="00CD3678">
            <w:pPr>
              <w:rPr>
                <w:rFonts w:eastAsia="Times New Roman" w:cs="Times New Roman"/>
                <w:color w:val="000000"/>
                <w:sz w:val="18"/>
                <w:szCs w:val="18"/>
                <w:lang w:eastAsia="en-GB"/>
              </w:rPr>
            </w:pPr>
            <w:r>
              <w:rPr>
                <w:rFonts w:eastAsia="Times New Roman" w:cs="Times New Roman"/>
                <w:color w:val="000000"/>
                <w:sz w:val="18"/>
                <w:szCs w:val="18"/>
                <w:lang w:eastAsia="en-GB"/>
              </w:rPr>
              <w:t>Deferred income tax (credit)/charge</w:t>
            </w:r>
          </w:p>
        </w:tc>
        <w:tc>
          <w:tcPr>
            <w:tcW w:w="709" w:type="dxa"/>
            <w:tcBorders>
              <w:top w:val="nil"/>
              <w:left w:val="nil"/>
              <w:bottom w:val="nil"/>
              <w:right w:val="nil"/>
            </w:tcBorders>
            <w:shd w:val="clear" w:color="auto" w:fill="auto"/>
            <w:noWrap/>
            <w:vAlign w:val="bottom"/>
          </w:tcPr>
          <w:p w14:paraId="5D714B13" w14:textId="77777777" w:rsidR="00D20412" w:rsidRPr="00290B01" w:rsidRDefault="00D20412"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5E5A0CCA" w14:textId="03FC24F6" w:rsidR="00D20412" w:rsidRPr="006304E8" w:rsidRDefault="007F7170" w:rsidP="00CD3678">
            <w:pPr>
              <w:jc w:val="right"/>
              <w:rPr>
                <w:rFonts w:eastAsia="Times New Roman" w:cs="Times New Roman"/>
                <w:sz w:val="18"/>
                <w:szCs w:val="18"/>
                <w:lang w:eastAsia="en-GB"/>
              </w:rPr>
            </w:pPr>
            <w:r>
              <w:rPr>
                <w:rFonts w:eastAsia="Times New Roman" w:cs="Times New Roman"/>
                <w:sz w:val="18"/>
                <w:szCs w:val="18"/>
                <w:lang w:eastAsia="en-GB"/>
              </w:rPr>
              <w:t>(29,756)</w:t>
            </w:r>
          </w:p>
        </w:tc>
        <w:tc>
          <w:tcPr>
            <w:tcW w:w="1560" w:type="dxa"/>
            <w:tcBorders>
              <w:top w:val="nil"/>
              <w:left w:val="nil"/>
              <w:bottom w:val="nil"/>
              <w:right w:val="nil"/>
            </w:tcBorders>
            <w:shd w:val="clear" w:color="auto" w:fill="auto"/>
            <w:noWrap/>
            <w:vAlign w:val="bottom"/>
          </w:tcPr>
          <w:p w14:paraId="3FA98902" w14:textId="04D87368" w:rsidR="00D20412" w:rsidRPr="006304E8" w:rsidRDefault="002D3E99" w:rsidP="00CD3678">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22,763</w:t>
            </w:r>
          </w:p>
        </w:tc>
      </w:tr>
      <w:tr w:rsidR="00D20412" w:rsidRPr="00290B01" w14:paraId="7F057D3B" w14:textId="77777777" w:rsidTr="00CD3678">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41027D83" w14:textId="4B5FB086" w:rsidR="00D20412" w:rsidRPr="00290B01" w:rsidRDefault="00D20412"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Total income tax charge for the year</w:t>
            </w:r>
          </w:p>
        </w:tc>
        <w:tc>
          <w:tcPr>
            <w:tcW w:w="709" w:type="dxa"/>
            <w:tcBorders>
              <w:top w:val="single" w:sz="8" w:space="0" w:color="auto"/>
              <w:left w:val="nil"/>
              <w:bottom w:val="double" w:sz="6" w:space="0" w:color="auto"/>
              <w:right w:val="nil"/>
            </w:tcBorders>
            <w:shd w:val="clear" w:color="auto" w:fill="auto"/>
            <w:noWrap/>
            <w:vAlign w:val="bottom"/>
            <w:hideMark/>
          </w:tcPr>
          <w:p w14:paraId="1795D106" w14:textId="77777777" w:rsidR="00D20412" w:rsidRPr="00290B01" w:rsidRDefault="00D20412"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6980A320" w14:textId="00708FE5" w:rsidR="00D20412" w:rsidRPr="00290B01" w:rsidRDefault="007F7170"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376,525</w:t>
            </w:r>
          </w:p>
        </w:tc>
        <w:tc>
          <w:tcPr>
            <w:tcW w:w="1560" w:type="dxa"/>
            <w:tcBorders>
              <w:top w:val="single" w:sz="8" w:space="0" w:color="auto"/>
              <w:left w:val="nil"/>
              <w:bottom w:val="double" w:sz="6" w:space="0" w:color="auto"/>
              <w:right w:val="nil"/>
            </w:tcBorders>
            <w:shd w:val="clear" w:color="auto" w:fill="auto"/>
            <w:noWrap/>
            <w:vAlign w:val="bottom"/>
          </w:tcPr>
          <w:p w14:paraId="06FEFB90" w14:textId="53B766F9" w:rsidR="00D20412" w:rsidRPr="00290B01" w:rsidRDefault="002D3E99" w:rsidP="00CD3678">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563,627</w:t>
            </w:r>
          </w:p>
        </w:tc>
      </w:tr>
    </w:tbl>
    <w:p w14:paraId="00BE6182" w14:textId="61B2E76B" w:rsidR="00D20412" w:rsidRPr="00D20412" w:rsidRDefault="00D20412" w:rsidP="00D20412">
      <w:pPr>
        <w:spacing w:before="120" w:after="120"/>
        <w:rPr>
          <w:sz w:val="18"/>
          <w:szCs w:val="18"/>
          <w:lang w:val="en-US"/>
        </w:rPr>
      </w:pPr>
      <w:r w:rsidRPr="00D20412">
        <w:rPr>
          <w:sz w:val="18"/>
          <w:szCs w:val="18"/>
          <w:lang w:val="en-US"/>
        </w:rPr>
        <w:t>The current tax rate applicable to the Company’s profit is 20% for 2019 and 2018.</w:t>
      </w:r>
    </w:p>
    <w:p w14:paraId="2764E95C" w14:textId="6EB99458" w:rsidR="00D20412" w:rsidRPr="00D20412" w:rsidRDefault="00D20412" w:rsidP="00D20412">
      <w:pPr>
        <w:spacing w:before="120" w:after="120"/>
        <w:rPr>
          <w:sz w:val="18"/>
          <w:szCs w:val="18"/>
          <w:lang w:val="en-US"/>
        </w:rPr>
      </w:pPr>
      <w:r w:rsidRPr="00D20412">
        <w:rPr>
          <w:sz w:val="18"/>
          <w:szCs w:val="18"/>
          <w:lang w:val="en-US"/>
        </w:rPr>
        <w:t>Reconciliation between the theoretical and the actual taxation charge is provided below:</w:t>
      </w:r>
    </w:p>
    <w:tbl>
      <w:tblPr>
        <w:tblW w:w="8789" w:type="dxa"/>
        <w:tblLook w:val="04A0" w:firstRow="1" w:lastRow="0" w:firstColumn="1" w:lastColumn="0" w:noHBand="0" w:noVBand="1"/>
      </w:tblPr>
      <w:tblGrid>
        <w:gridCol w:w="5245"/>
        <w:gridCol w:w="709"/>
        <w:gridCol w:w="1275"/>
        <w:gridCol w:w="1560"/>
      </w:tblGrid>
      <w:tr w:rsidR="00D20412" w:rsidRPr="00290B01" w14:paraId="6182B8E7" w14:textId="77777777" w:rsidTr="00CD3678">
        <w:trPr>
          <w:trHeight w:val="305"/>
        </w:trPr>
        <w:tc>
          <w:tcPr>
            <w:tcW w:w="5245" w:type="dxa"/>
            <w:tcBorders>
              <w:top w:val="nil"/>
              <w:left w:val="nil"/>
              <w:bottom w:val="single" w:sz="8" w:space="0" w:color="auto"/>
              <w:right w:val="nil"/>
            </w:tcBorders>
            <w:shd w:val="clear" w:color="auto" w:fill="auto"/>
            <w:noWrap/>
            <w:vAlign w:val="center"/>
            <w:hideMark/>
          </w:tcPr>
          <w:p w14:paraId="7A593351" w14:textId="77777777" w:rsidR="00D20412" w:rsidRPr="00290B01" w:rsidRDefault="00D20412"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4B12A708" w14:textId="77777777" w:rsidR="00D20412" w:rsidRPr="00290B01" w:rsidRDefault="00D20412"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259EBA72" w14:textId="77777777" w:rsidR="00D20412" w:rsidRPr="00290B01" w:rsidRDefault="00D20412"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55636767" w14:textId="77777777" w:rsidR="00D20412" w:rsidRPr="00290B01" w:rsidRDefault="00D20412"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2018</w:t>
            </w:r>
          </w:p>
        </w:tc>
      </w:tr>
      <w:tr w:rsidR="00D20412" w:rsidRPr="00290B01" w14:paraId="5DA3EC32" w14:textId="77777777" w:rsidTr="00CD3678">
        <w:trPr>
          <w:trHeight w:val="288"/>
        </w:trPr>
        <w:tc>
          <w:tcPr>
            <w:tcW w:w="5245" w:type="dxa"/>
            <w:tcBorders>
              <w:top w:val="nil"/>
              <w:left w:val="nil"/>
              <w:bottom w:val="nil"/>
              <w:right w:val="nil"/>
            </w:tcBorders>
            <w:shd w:val="clear" w:color="auto" w:fill="auto"/>
            <w:noWrap/>
            <w:vAlign w:val="bottom"/>
            <w:hideMark/>
          </w:tcPr>
          <w:p w14:paraId="6EFC51A1" w14:textId="178D3472" w:rsidR="00D20412" w:rsidRPr="00290B01" w:rsidRDefault="00D20412" w:rsidP="00CD3678">
            <w:pPr>
              <w:rPr>
                <w:rFonts w:eastAsia="Times New Roman" w:cs="Times New Roman"/>
                <w:color w:val="000000"/>
                <w:sz w:val="18"/>
                <w:szCs w:val="18"/>
                <w:lang w:eastAsia="en-GB"/>
              </w:rPr>
            </w:pPr>
            <w:r>
              <w:rPr>
                <w:rFonts w:eastAsia="Times New Roman" w:cs="Times New Roman"/>
                <w:color w:val="000000"/>
                <w:sz w:val="18"/>
                <w:szCs w:val="18"/>
                <w:lang w:eastAsia="en-GB"/>
              </w:rPr>
              <w:t>Profit before tax</w:t>
            </w:r>
          </w:p>
        </w:tc>
        <w:tc>
          <w:tcPr>
            <w:tcW w:w="709" w:type="dxa"/>
            <w:tcBorders>
              <w:top w:val="nil"/>
              <w:left w:val="nil"/>
              <w:bottom w:val="nil"/>
              <w:right w:val="nil"/>
            </w:tcBorders>
            <w:shd w:val="clear" w:color="auto" w:fill="auto"/>
            <w:noWrap/>
            <w:vAlign w:val="bottom"/>
            <w:hideMark/>
          </w:tcPr>
          <w:p w14:paraId="60D473EA" w14:textId="77777777" w:rsidR="00D20412" w:rsidRPr="00290B01" w:rsidRDefault="00D20412"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516FBD89" w14:textId="2E603616" w:rsidR="00D20412" w:rsidRPr="00290B01" w:rsidRDefault="00FC0F36" w:rsidP="00CD3678">
            <w:pPr>
              <w:jc w:val="right"/>
              <w:rPr>
                <w:rFonts w:eastAsia="Times New Roman" w:cs="Times New Roman"/>
                <w:sz w:val="18"/>
                <w:szCs w:val="18"/>
                <w:lang w:eastAsia="en-GB"/>
              </w:rPr>
            </w:pPr>
            <w:r>
              <w:rPr>
                <w:rFonts w:eastAsia="Times New Roman" w:cs="Times New Roman"/>
                <w:sz w:val="18"/>
                <w:szCs w:val="18"/>
                <w:lang w:eastAsia="en-GB"/>
              </w:rPr>
              <w:t>1,831,475</w:t>
            </w:r>
          </w:p>
        </w:tc>
        <w:tc>
          <w:tcPr>
            <w:tcW w:w="1560" w:type="dxa"/>
            <w:tcBorders>
              <w:top w:val="nil"/>
              <w:left w:val="nil"/>
              <w:bottom w:val="nil"/>
              <w:right w:val="nil"/>
            </w:tcBorders>
            <w:shd w:val="clear" w:color="auto" w:fill="auto"/>
            <w:noWrap/>
            <w:vAlign w:val="bottom"/>
          </w:tcPr>
          <w:p w14:paraId="46C70F54" w14:textId="51991FB1" w:rsidR="00D20412" w:rsidRPr="00290B01" w:rsidRDefault="007F7170" w:rsidP="00CD3678">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2,804,347</w:t>
            </w:r>
          </w:p>
        </w:tc>
      </w:tr>
      <w:tr w:rsidR="00D20412" w:rsidRPr="00290B01" w14:paraId="6031177A" w14:textId="77777777" w:rsidTr="00CD3678">
        <w:trPr>
          <w:trHeight w:val="288"/>
        </w:trPr>
        <w:tc>
          <w:tcPr>
            <w:tcW w:w="5245" w:type="dxa"/>
            <w:tcBorders>
              <w:top w:val="nil"/>
              <w:left w:val="nil"/>
              <w:bottom w:val="nil"/>
              <w:right w:val="nil"/>
            </w:tcBorders>
            <w:shd w:val="clear" w:color="auto" w:fill="auto"/>
            <w:noWrap/>
            <w:vAlign w:val="bottom"/>
          </w:tcPr>
          <w:p w14:paraId="1908C1B3" w14:textId="0AD5AF2A" w:rsidR="00D20412" w:rsidRDefault="00D20412" w:rsidP="00CD3678">
            <w:pPr>
              <w:rPr>
                <w:rFonts w:eastAsia="Times New Roman" w:cs="Times New Roman"/>
                <w:color w:val="000000"/>
                <w:sz w:val="18"/>
                <w:szCs w:val="18"/>
                <w:lang w:eastAsia="en-GB"/>
              </w:rPr>
            </w:pPr>
            <w:r>
              <w:rPr>
                <w:rFonts w:eastAsia="Times New Roman" w:cs="Times New Roman"/>
                <w:color w:val="000000"/>
                <w:sz w:val="18"/>
                <w:szCs w:val="18"/>
                <w:lang w:eastAsia="en-GB"/>
              </w:rPr>
              <w:t>Theoretical tax charge at the applicable statutory rate 20%</w:t>
            </w:r>
          </w:p>
        </w:tc>
        <w:tc>
          <w:tcPr>
            <w:tcW w:w="709" w:type="dxa"/>
            <w:tcBorders>
              <w:top w:val="nil"/>
              <w:left w:val="nil"/>
              <w:bottom w:val="nil"/>
              <w:right w:val="nil"/>
            </w:tcBorders>
            <w:shd w:val="clear" w:color="auto" w:fill="auto"/>
            <w:noWrap/>
            <w:vAlign w:val="bottom"/>
          </w:tcPr>
          <w:p w14:paraId="7FFB9E7B" w14:textId="77777777" w:rsidR="00D20412" w:rsidRPr="00290B01" w:rsidRDefault="00D20412"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72FBC632" w14:textId="25DAB689" w:rsidR="00D20412" w:rsidRPr="00290B01" w:rsidRDefault="00FC0F36" w:rsidP="00CD3678">
            <w:pPr>
              <w:jc w:val="right"/>
              <w:rPr>
                <w:rFonts w:eastAsia="Times New Roman" w:cs="Times New Roman"/>
                <w:sz w:val="18"/>
                <w:szCs w:val="18"/>
                <w:lang w:eastAsia="en-GB"/>
              </w:rPr>
            </w:pPr>
            <w:r>
              <w:rPr>
                <w:rFonts w:eastAsia="Times New Roman" w:cs="Times New Roman"/>
                <w:sz w:val="18"/>
                <w:szCs w:val="18"/>
                <w:lang w:eastAsia="en-GB"/>
              </w:rPr>
              <w:t>366,295</w:t>
            </w:r>
          </w:p>
        </w:tc>
        <w:tc>
          <w:tcPr>
            <w:tcW w:w="1560" w:type="dxa"/>
            <w:tcBorders>
              <w:top w:val="nil"/>
              <w:left w:val="nil"/>
              <w:bottom w:val="nil"/>
              <w:right w:val="nil"/>
            </w:tcBorders>
            <w:shd w:val="clear" w:color="auto" w:fill="auto"/>
            <w:noWrap/>
            <w:vAlign w:val="bottom"/>
          </w:tcPr>
          <w:p w14:paraId="3FEF738F" w14:textId="18BA54C6" w:rsidR="00D20412" w:rsidRDefault="002D3E99" w:rsidP="00CD3678">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560,</w:t>
            </w:r>
            <w:r w:rsidR="007F7170">
              <w:rPr>
                <w:rFonts w:eastAsia="Times New Roman" w:cs="Times New Roman"/>
                <w:color w:val="000000"/>
                <w:sz w:val="18"/>
                <w:szCs w:val="18"/>
                <w:lang w:val="en-US" w:eastAsia="en-GB"/>
              </w:rPr>
              <w:t>870</w:t>
            </w:r>
          </w:p>
        </w:tc>
      </w:tr>
      <w:tr w:rsidR="00D20412" w:rsidRPr="00290B01" w14:paraId="594F851A" w14:textId="77777777" w:rsidTr="00CD3678">
        <w:trPr>
          <w:trHeight w:val="288"/>
        </w:trPr>
        <w:tc>
          <w:tcPr>
            <w:tcW w:w="5245" w:type="dxa"/>
            <w:tcBorders>
              <w:top w:val="nil"/>
              <w:left w:val="nil"/>
              <w:bottom w:val="nil"/>
              <w:right w:val="nil"/>
            </w:tcBorders>
            <w:shd w:val="clear" w:color="auto" w:fill="auto"/>
            <w:noWrap/>
            <w:vAlign w:val="bottom"/>
          </w:tcPr>
          <w:p w14:paraId="74A91C78" w14:textId="19B92B8F" w:rsidR="00D20412" w:rsidRPr="00E209F8" w:rsidRDefault="00D20412" w:rsidP="00CD3678">
            <w:pPr>
              <w:rPr>
                <w:rFonts w:eastAsia="Times New Roman" w:cs="Times New Roman"/>
                <w:color w:val="000000"/>
                <w:sz w:val="18"/>
                <w:szCs w:val="18"/>
                <w:lang w:eastAsia="en-GB"/>
              </w:rPr>
            </w:pPr>
            <w:r>
              <w:rPr>
                <w:rFonts w:eastAsia="Times New Roman" w:cs="Times New Roman"/>
                <w:color w:val="000000"/>
                <w:sz w:val="18"/>
                <w:szCs w:val="18"/>
                <w:lang w:eastAsia="en-GB"/>
              </w:rPr>
              <w:t>Non-deductible expenses less non-taxable income</w:t>
            </w:r>
          </w:p>
        </w:tc>
        <w:tc>
          <w:tcPr>
            <w:tcW w:w="709" w:type="dxa"/>
            <w:tcBorders>
              <w:top w:val="nil"/>
              <w:left w:val="nil"/>
              <w:bottom w:val="nil"/>
              <w:right w:val="nil"/>
            </w:tcBorders>
            <w:shd w:val="clear" w:color="auto" w:fill="auto"/>
            <w:noWrap/>
            <w:vAlign w:val="bottom"/>
          </w:tcPr>
          <w:p w14:paraId="16B60D6D" w14:textId="77777777" w:rsidR="00D20412" w:rsidRPr="00290B01" w:rsidRDefault="00D20412"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612DBC61" w14:textId="4061292F" w:rsidR="00D20412" w:rsidRPr="006304E8" w:rsidRDefault="00FC0F36" w:rsidP="00CD3678">
            <w:pPr>
              <w:jc w:val="right"/>
              <w:rPr>
                <w:rFonts w:eastAsia="Times New Roman" w:cs="Times New Roman"/>
                <w:sz w:val="18"/>
                <w:szCs w:val="18"/>
                <w:lang w:eastAsia="en-GB"/>
              </w:rPr>
            </w:pPr>
            <w:r>
              <w:rPr>
                <w:rFonts w:eastAsia="Times New Roman" w:cs="Times New Roman"/>
                <w:sz w:val="18"/>
                <w:szCs w:val="18"/>
                <w:lang w:eastAsia="en-GB"/>
              </w:rPr>
              <w:t>10,230</w:t>
            </w:r>
          </w:p>
        </w:tc>
        <w:tc>
          <w:tcPr>
            <w:tcW w:w="1560" w:type="dxa"/>
            <w:tcBorders>
              <w:top w:val="nil"/>
              <w:left w:val="nil"/>
              <w:bottom w:val="nil"/>
              <w:right w:val="nil"/>
            </w:tcBorders>
            <w:shd w:val="clear" w:color="auto" w:fill="auto"/>
            <w:noWrap/>
            <w:vAlign w:val="bottom"/>
          </w:tcPr>
          <w:p w14:paraId="32A0AE67" w14:textId="2790824E" w:rsidR="00D20412" w:rsidRPr="006304E8" w:rsidRDefault="00D20412" w:rsidP="00CD3678">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2,757</w:t>
            </w:r>
          </w:p>
        </w:tc>
      </w:tr>
      <w:tr w:rsidR="00D20412" w:rsidRPr="00290B01" w14:paraId="3D735F8D" w14:textId="77777777" w:rsidTr="00CD3678">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5AB20E8F" w14:textId="77777777" w:rsidR="00D20412" w:rsidRPr="00290B01" w:rsidRDefault="00D20412"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Total income tax charge for the year</w:t>
            </w:r>
          </w:p>
        </w:tc>
        <w:tc>
          <w:tcPr>
            <w:tcW w:w="709" w:type="dxa"/>
            <w:tcBorders>
              <w:top w:val="single" w:sz="8" w:space="0" w:color="auto"/>
              <w:left w:val="nil"/>
              <w:bottom w:val="double" w:sz="6" w:space="0" w:color="auto"/>
              <w:right w:val="nil"/>
            </w:tcBorders>
            <w:shd w:val="clear" w:color="auto" w:fill="auto"/>
            <w:noWrap/>
            <w:vAlign w:val="bottom"/>
            <w:hideMark/>
          </w:tcPr>
          <w:p w14:paraId="7BE5752A" w14:textId="77777777" w:rsidR="00D20412" w:rsidRPr="00290B01" w:rsidRDefault="00D20412"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2CCCB7B5" w14:textId="1523F248" w:rsidR="00D20412" w:rsidRPr="00290B01" w:rsidRDefault="00FC0F36"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376,525</w:t>
            </w:r>
          </w:p>
        </w:tc>
        <w:tc>
          <w:tcPr>
            <w:tcW w:w="1560" w:type="dxa"/>
            <w:tcBorders>
              <w:top w:val="single" w:sz="8" w:space="0" w:color="auto"/>
              <w:left w:val="nil"/>
              <w:bottom w:val="double" w:sz="6" w:space="0" w:color="auto"/>
              <w:right w:val="nil"/>
            </w:tcBorders>
            <w:shd w:val="clear" w:color="auto" w:fill="auto"/>
            <w:noWrap/>
            <w:vAlign w:val="bottom"/>
          </w:tcPr>
          <w:p w14:paraId="44B06083" w14:textId="18127F37" w:rsidR="00D20412" w:rsidRPr="00290B01" w:rsidRDefault="002D3E99" w:rsidP="00CD3678">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563,627</w:t>
            </w:r>
          </w:p>
        </w:tc>
      </w:tr>
    </w:tbl>
    <w:p w14:paraId="412A28FC" w14:textId="77777777" w:rsidR="0038677D" w:rsidRPr="00EC690A" w:rsidRDefault="0038677D" w:rsidP="0038677D">
      <w:pPr>
        <w:spacing w:before="120" w:after="120"/>
        <w:jc w:val="both"/>
        <w:rPr>
          <w:sz w:val="18"/>
          <w:szCs w:val="18"/>
        </w:rPr>
      </w:pPr>
      <w:r w:rsidRPr="00EC690A">
        <w:rPr>
          <w:sz w:val="18"/>
          <w:szCs w:val="18"/>
        </w:rPr>
        <w:t xml:space="preserve">Differences between IFRS and statutory taxation regulations of the Republic of Azerbaijan give rise to certain temporary differences between the carrying amount of certain assets and liabilities for financial reporting purposes and for the Company’s profits tax purposes. </w:t>
      </w:r>
    </w:p>
    <w:tbl>
      <w:tblPr>
        <w:tblW w:w="8789" w:type="dxa"/>
        <w:tblLook w:val="04A0" w:firstRow="1" w:lastRow="0" w:firstColumn="1" w:lastColumn="0" w:noHBand="0" w:noVBand="1"/>
      </w:tblPr>
      <w:tblGrid>
        <w:gridCol w:w="3119"/>
        <w:gridCol w:w="1843"/>
        <w:gridCol w:w="1843"/>
        <w:gridCol w:w="1984"/>
      </w:tblGrid>
      <w:tr w:rsidR="0038677D" w:rsidRPr="00290B01" w14:paraId="5FC59E1E" w14:textId="77777777" w:rsidTr="0028128D">
        <w:trPr>
          <w:trHeight w:val="305"/>
        </w:trPr>
        <w:tc>
          <w:tcPr>
            <w:tcW w:w="3119" w:type="dxa"/>
            <w:tcBorders>
              <w:top w:val="nil"/>
              <w:left w:val="nil"/>
              <w:bottom w:val="single" w:sz="8" w:space="0" w:color="auto"/>
              <w:right w:val="nil"/>
            </w:tcBorders>
            <w:shd w:val="clear" w:color="auto" w:fill="auto"/>
            <w:noWrap/>
            <w:vAlign w:val="bottom"/>
            <w:hideMark/>
          </w:tcPr>
          <w:p w14:paraId="005FFEE4" w14:textId="5438105C" w:rsidR="0038677D" w:rsidRPr="00290B01" w:rsidRDefault="0028128D" w:rsidP="0028128D">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Temporary differences due to</w:t>
            </w:r>
            <w:r w:rsidR="0038677D" w:rsidRPr="00290B01">
              <w:rPr>
                <w:rFonts w:eastAsia="Times New Roman" w:cs="Times New Roman"/>
                <w:b/>
                <w:bCs/>
                <w:color w:val="000000"/>
                <w:sz w:val="18"/>
                <w:szCs w:val="18"/>
                <w:lang w:eastAsia="en-GB"/>
              </w:rPr>
              <w:t> </w:t>
            </w:r>
          </w:p>
        </w:tc>
        <w:tc>
          <w:tcPr>
            <w:tcW w:w="1843" w:type="dxa"/>
            <w:tcBorders>
              <w:top w:val="nil"/>
              <w:left w:val="nil"/>
              <w:bottom w:val="single" w:sz="8" w:space="0" w:color="auto"/>
              <w:right w:val="nil"/>
            </w:tcBorders>
            <w:shd w:val="clear" w:color="auto" w:fill="auto"/>
            <w:noWrap/>
            <w:vAlign w:val="bottom"/>
            <w:hideMark/>
          </w:tcPr>
          <w:p w14:paraId="521A76EB" w14:textId="0648E25F" w:rsidR="0028128D" w:rsidRDefault="0038677D"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r w:rsidR="0028128D">
              <w:rPr>
                <w:rFonts w:eastAsia="Times New Roman" w:cs="Times New Roman"/>
                <w:b/>
                <w:bCs/>
                <w:color w:val="000000"/>
                <w:sz w:val="18"/>
                <w:szCs w:val="18"/>
                <w:lang w:eastAsia="en-GB"/>
              </w:rPr>
              <w:t xml:space="preserve">Adjusted balance as at </w:t>
            </w:r>
          </w:p>
          <w:p w14:paraId="7DC214B7" w14:textId="44F7F983" w:rsidR="007F7170" w:rsidRPr="00290B01" w:rsidRDefault="0028128D" w:rsidP="007F7170">
            <w:pPr>
              <w:jc w:val="center"/>
              <w:rPr>
                <w:rFonts w:eastAsia="Times New Roman" w:cs="Times New Roman"/>
                <w:b/>
                <w:bCs/>
                <w:color w:val="000000"/>
                <w:sz w:val="18"/>
                <w:szCs w:val="18"/>
                <w:lang w:eastAsia="en-GB"/>
              </w:rPr>
            </w:pPr>
            <w:r>
              <w:rPr>
                <w:rFonts w:eastAsia="Times New Roman" w:cs="Times New Roman"/>
                <w:b/>
                <w:bCs/>
                <w:color w:val="000000"/>
                <w:sz w:val="18"/>
                <w:szCs w:val="18"/>
                <w:lang w:eastAsia="en-GB"/>
              </w:rPr>
              <w:t>1 January 2019</w:t>
            </w:r>
          </w:p>
        </w:tc>
        <w:tc>
          <w:tcPr>
            <w:tcW w:w="1843" w:type="dxa"/>
            <w:tcBorders>
              <w:top w:val="nil"/>
              <w:left w:val="nil"/>
              <w:bottom w:val="single" w:sz="8" w:space="0" w:color="auto"/>
              <w:right w:val="nil"/>
            </w:tcBorders>
            <w:shd w:val="clear" w:color="auto" w:fill="auto"/>
            <w:noWrap/>
            <w:vAlign w:val="bottom"/>
            <w:hideMark/>
          </w:tcPr>
          <w:p w14:paraId="19A1B0E9" w14:textId="52D447FE" w:rsidR="0038677D" w:rsidRPr="00290B01" w:rsidRDefault="0028128D"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(Charged)/credited to profit or loss</w:t>
            </w:r>
          </w:p>
        </w:tc>
        <w:tc>
          <w:tcPr>
            <w:tcW w:w="1984" w:type="dxa"/>
            <w:tcBorders>
              <w:top w:val="nil"/>
              <w:left w:val="nil"/>
              <w:bottom w:val="single" w:sz="8" w:space="0" w:color="auto"/>
              <w:right w:val="nil"/>
            </w:tcBorders>
            <w:shd w:val="clear" w:color="auto" w:fill="auto"/>
            <w:noWrap/>
            <w:vAlign w:val="bottom"/>
            <w:hideMark/>
          </w:tcPr>
          <w:p w14:paraId="6482216A" w14:textId="77777777" w:rsidR="0028128D" w:rsidRPr="00703807" w:rsidRDefault="0028128D" w:rsidP="00CD3678">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 xml:space="preserve">Balance as at </w:t>
            </w:r>
          </w:p>
          <w:p w14:paraId="6B0CA93E" w14:textId="6D22A0DD" w:rsidR="0038677D" w:rsidRPr="00703807" w:rsidRDefault="0028128D" w:rsidP="00CD3678">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31 December 2019</w:t>
            </w:r>
          </w:p>
        </w:tc>
      </w:tr>
      <w:tr w:rsidR="0038677D" w:rsidRPr="00290B01" w14:paraId="68FBB10E" w14:textId="77777777" w:rsidTr="0028128D">
        <w:trPr>
          <w:trHeight w:val="288"/>
        </w:trPr>
        <w:tc>
          <w:tcPr>
            <w:tcW w:w="3119" w:type="dxa"/>
            <w:tcBorders>
              <w:top w:val="nil"/>
              <w:left w:val="nil"/>
              <w:bottom w:val="nil"/>
              <w:right w:val="nil"/>
            </w:tcBorders>
            <w:shd w:val="clear" w:color="auto" w:fill="auto"/>
            <w:noWrap/>
            <w:vAlign w:val="bottom"/>
            <w:hideMark/>
          </w:tcPr>
          <w:p w14:paraId="3B4FC2A2" w14:textId="32BA9CA6" w:rsidR="0038677D" w:rsidRPr="00290B01"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Cash and bank accounts</w:t>
            </w:r>
          </w:p>
        </w:tc>
        <w:tc>
          <w:tcPr>
            <w:tcW w:w="1843" w:type="dxa"/>
            <w:tcBorders>
              <w:top w:val="nil"/>
              <w:left w:val="nil"/>
              <w:bottom w:val="nil"/>
              <w:right w:val="nil"/>
            </w:tcBorders>
            <w:shd w:val="clear" w:color="auto" w:fill="auto"/>
            <w:noWrap/>
            <w:vAlign w:val="bottom"/>
            <w:hideMark/>
          </w:tcPr>
          <w:p w14:paraId="7DEAA39B" w14:textId="5785667E" w:rsidR="0038677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83,252</w:t>
            </w:r>
          </w:p>
        </w:tc>
        <w:tc>
          <w:tcPr>
            <w:tcW w:w="1843" w:type="dxa"/>
            <w:tcBorders>
              <w:top w:val="nil"/>
              <w:left w:val="nil"/>
              <w:bottom w:val="nil"/>
              <w:right w:val="nil"/>
            </w:tcBorders>
            <w:shd w:val="clear" w:color="auto" w:fill="auto"/>
            <w:noWrap/>
            <w:vAlign w:val="bottom"/>
          </w:tcPr>
          <w:p w14:paraId="2D935A96" w14:textId="00966432" w:rsidR="0038677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1,306</w:t>
            </w:r>
          </w:p>
        </w:tc>
        <w:tc>
          <w:tcPr>
            <w:tcW w:w="1984" w:type="dxa"/>
            <w:tcBorders>
              <w:top w:val="nil"/>
              <w:left w:val="nil"/>
              <w:bottom w:val="nil"/>
              <w:right w:val="nil"/>
            </w:tcBorders>
            <w:shd w:val="clear" w:color="auto" w:fill="auto"/>
            <w:noWrap/>
            <w:vAlign w:val="bottom"/>
          </w:tcPr>
          <w:p w14:paraId="0906E7EA" w14:textId="1FF601E7" w:rsidR="0038677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84,558</w:t>
            </w:r>
          </w:p>
        </w:tc>
      </w:tr>
      <w:tr w:rsidR="0028128D" w:rsidRPr="00290B01" w14:paraId="2E548D5C" w14:textId="77777777" w:rsidTr="0028128D">
        <w:trPr>
          <w:trHeight w:val="299"/>
        </w:trPr>
        <w:tc>
          <w:tcPr>
            <w:tcW w:w="3119" w:type="dxa"/>
            <w:tcBorders>
              <w:top w:val="nil"/>
              <w:left w:val="nil"/>
              <w:bottom w:val="nil"/>
              <w:right w:val="nil"/>
            </w:tcBorders>
            <w:shd w:val="clear" w:color="auto" w:fill="auto"/>
            <w:noWrap/>
            <w:vAlign w:val="bottom"/>
          </w:tcPr>
          <w:p w14:paraId="6DF9DE2D" w14:textId="6494C505"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Deposits with banks</w:t>
            </w:r>
          </w:p>
        </w:tc>
        <w:tc>
          <w:tcPr>
            <w:tcW w:w="1843" w:type="dxa"/>
            <w:tcBorders>
              <w:top w:val="nil"/>
              <w:left w:val="nil"/>
              <w:bottom w:val="nil"/>
              <w:right w:val="nil"/>
            </w:tcBorders>
            <w:shd w:val="clear" w:color="auto" w:fill="auto"/>
            <w:noWrap/>
            <w:vAlign w:val="bottom"/>
          </w:tcPr>
          <w:p w14:paraId="25CD59D6" w14:textId="779CB191"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(2,818)</w:t>
            </w:r>
          </w:p>
        </w:tc>
        <w:tc>
          <w:tcPr>
            <w:tcW w:w="1843" w:type="dxa"/>
            <w:tcBorders>
              <w:top w:val="nil"/>
              <w:left w:val="nil"/>
              <w:bottom w:val="nil"/>
              <w:right w:val="nil"/>
            </w:tcBorders>
            <w:shd w:val="clear" w:color="auto" w:fill="auto"/>
            <w:noWrap/>
            <w:vAlign w:val="bottom"/>
          </w:tcPr>
          <w:p w14:paraId="51FC3963" w14:textId="180D786C"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(4,400)</w:t>
            </w:r>
          </w:p>
        </w:tc>
        <w:tc>
          <w:tcPr>
            <w:tcW w:w="1984" w:type="dxa"/>
            <w:tcBorders>
              <w:top w:val="nil"/>
              <w:left w:val="nil"/>
              <w:bottom w:val="nil"/>
              <w:right w:val="nil"/>
            </w:tcBorders>
            <w:shd w:val="clear" w:color="auto" w:fill="auto"/>
            <w:noWrap/>
            <w:vAlign w:val="bottom"/>
          </w:tcPr>
          <w:p w14:paraId="54327237" w14:textId="680BEA7A"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(7,218)</w:t>
            </w:r>
          </w:p>
        </w:tc>
      </w:tr>
      <w:tr w:rsidR="0038677D" w:rsidRPr="00290B01" w14:paraId="15EAD7B6" w14:textId="77777777" w:rsidTr="0028128D">
        <w:trPr>
          <w:trHeight w:val="288"/>
        </w:trPr>
        <w:tc>
          <w:tcPr>
            <w:tcW w:w="3119" w:type="dxa"/>
            <w:tcBorders>
              <w:top w:val="nil"/>
              <w:left w:val="nil"/>
              <w:bottom w:val="nil"/>
              <w:right w:val="nil"/>
            </w:tcBorders>
            <w:shd w:val="clear" w:color="auto" w:fill="auto"/>
            <w:noWrap/>
            <w:vAlign w:val="bottom"/>
          </w:tcPr>
          <w:p w14:paraId="1AC45701" w14:textId="13DF7B8F" w:rsidR="0038677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Receivables</w:t>
            </w:r>
          </w:p>
        </w:tc>
        <w:tc>
          <w:tcPr>
            <w:tcW w:w="1843" w:type="dxa"/>
            <w:tcBorders>
              <w:top w:val="nil"/>
              <w:left w:val="nil"/>
              <w:bottom w:val="nil"/>
              <w:right w:val="nil"/>
            </w:tcBorders>
            <w:shd w:val="clear" w:color="auto" w:fill="auto"/>
            <w:noWrap/>
            <w:vAlign w:val="bottom"/>
          </w:tcPr>
          <w:p w14:paraId="794A90EF" w14:textId="55B269FD" w:rsidR="0038677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(163)</w:t>
            </w:r>
          </w:p>
        </w:tc>
        <w:tc>
          <w:tcPr>
            <w:tcW w:w="1843" w:type="dxa"/>
            <w:tcBorders>
              <w:top w:val="nil"/>
              <w:left w:val="nil"/>
              <w:bottom w:val="nil"/>
              <w:right w:val="nil"/>
            </w:tcBorders>
            <w:shd w:val="clear" w:color="auto" w:fill="auto"/>
            <w:noWrap/>
            <w:vAlign w:val="bottom"/>
          </w:tcPr>
          <w:p w14:paraId="3CA71D48" w14:textId="5384DD83" w:rsidR="0038677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7,787</w:t>
            </w:r>
          </w:p>
        </w:tc>
        <w:tc>
          <w:tcPr>
            <w:tcW w:w="1984" w:type="dxa"/>
            <w:tcBorders>
              <w:top w:val="nil"/>
              <w:left w:val="nil"/>
              <w:bottom w:val="nil"/>
              <w:right w:val="nil"/>
            </w:tcBorders>
            <w:shd w:val="clear" w:color="auto" w:fill="auto"/>
            <w:noWrap/>
            <w:vAlign w:val="bottom"/>
          </w:tcPr>
          <w:p w14:paraId="721B21C1" w14:textId="2178DF31" w:rsidR="0038677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7,624</w:t>
            </w:r>
          </w:p>
        </w:tc>
      </w:tr>
      <w:tr w:rsidR="0028128D" w:rsidRPr="00290B01" w14:paraId="4412D57C" w14:textId="77777777" w:rsidTr="0028128D">
        <w:trPr>
          <w:trHeight w:val="288"/>
        </w:trPr>
        <w:tc>
          <w:tcPr>
            <w:tcW w:w="3119" w:type="dxa"/>
            <w:tcBorders>
              <w:top w:val="nil"/>
              <w:left w:val="nil"/>
              <w:bottom w:val="nil"/>
              <w:right w:val="nil"/>
            </w:tcBorders>
            <w:shd w:val="clear" w:color="auto" w:fill="auto"/>
            <w:noWrap/>
            <w:vAlign w:val="bottom"/>
          </w:tcPr>
          <w:p w14:paraId="54A80161" w14:textId="23AA30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Reinsurance assets</w:t>
            </w:r>
          </w:p>
        </w:tc>
        <w:tc>
          <w:tcPr>
            <w:tcW w:w="1843" w:type="dxa"/>
            <w:tcBorders>
              <w:top w:val="nil"/>
              <w:left w:val="nil"/>
              <w:bottom w:val="nil"/>
              <w:right w:val="nil"/>
            </w:tcBorders>
            <w:shd w:val="clear" w:color="auto" w:fill="auto"/>
            <w:noWrap/>
            <w:vAlign w:val="bottom"/>
          </w:tcPr>
          <w:p w14:paraId="4C49B7C3" w14:textId="2642A0CF"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8,659</w:t>
            </w:r>
          </w:p>
        </w:tc>
        <w:tc>
          <w:tcPr>
            <w:tcW w:w="1843" w:type="dxa"/>
            <w:tcBorders>
              <w:top w:val="nil"/>
              <w:left w:val="nil"/>
              <w:bottom w:val="nil"/>
              <w:right w:val="nil"/>
            </w:tcBorders>
            <w:shd w:val="clear" w:color="auto" w:fill="auto"/>
            <w:noWrap/>
            <w:vAlign w:val="bottom"/>
          </w:tcPr>
          <w:p w14:paraId="431B7F4B" w14:textId="7D7F6B3A"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(11,891)</w:t>
            </w:r>
          </w:p>
        </w:tc>
        <w:tc>
          <w:tcPr>
            <w:tcW w:w="1984" w:type="dxa"/>
            <w:tcBorders>
              <w:top w:val="nil"/>
              <w:left w:val="nil"/>
              <w:bottom w:val="nil"/>
              <w:right w:val="nil"/>
            </w:tcBorders>
            <w:shd w:val="clear" w:color="auto" w:fill="auto"/>
            <w:noWrap/>
            <w:vAlign w:val="bottom"/>
          </w:tcPr>
          <w:p w14:paraId="10EF36B7" w14:textId="4CA1A40D"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(3,232)</w:t>
            </w:r>
          </w:p>
        </w:tc>
      </w:tr>
      <w:tr w:rsidR="0028128D" w:rsidRPr="00290B01" w14:paraId="613573F0" w14:textId="77777777" w:rsidTr="0028128D">
        <w:trPr>
          <w:trHeight w:val="288"/>
        </w:trPr>
        <w:tc>
          <w:tcPr>
            <w:tcW w:w="3119" w:type="dxa"/>
            <w:tcBorders>
              <w:top w:val="nil"/>
              <w:left w:val="nil"/>
              <w:bottom w:val="nil"/>
              <w:right w:val="nil"/>
            </w:tcBorders>
            <w:shd w:val="clear" w:color="auto" w:fill="auto"/>
            <w:noWrap/>
            <w:vAlign w:val="bottom"/>
          </w:tcPr>
          <w:p w14:paraId="471AC050" w14:textId="3E291854"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Property and equipment</w:t>
            </w:r>
          </w:p>
        </w:tc>
        <w:tc>
          <w:tcPr>
            <w:tcW w:w="1843" w:type="dxa"/>
            <w:tcBorders>
              <w:top w:val="nil"/>
              <w:left w:val="nil"/>
              <w:bottom w:val="nil"/>
              <w:right w:val="nil"/>
            </w:tcBorders>
            <w:shd w:val="clear" w:color="auto" w:fill="auto"/>
            <w:noWrap/>
            <w:vAlign w:val="bottom"/>
          </w:tcPr>
          <w:p w14:paraId="68509028" w14:textId="3A4B759F"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75,684</w:t>
            </w:r>
          </w:p>
        </w:tc>
        <w:tc>
          <w:tcPr>
            <w:tcW w:w="1843" w:type="dxa"/>
            <w:tcBorders>
              <w:top w:val="nil"/>
              <w:left w:val="nil"/>
              <w:bottom w:val="nil"/>
              <w:right w:val="nil"/>
            </w:tcBorders>
            <w:shd w:val="clear" w:color="auto" w:fill="auto"/>
            <w:noWrap/>
            <w:vAlign w:val="bottom"/>
          </w:tcPr>
          <w:p w14:paraId="75B7393A" w14:textId="29B1DF5C"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(17,580)</w:t>
            </w:r>
          </w:p>
        </w:tc>
        <w:tc>
          <w:tcPr>
            <w:tcW w:w="1984" w:type="dxa"/>
            <w:tcBorders>
              <w:top w:val="nil"/>
              <w:left w:val="nil"/>
              <w:bottom w:val="nil"/>
              <w:right w:val="nil"/>
            </w:tcBorders>
            <w:shd w:val="clear" w:color="auto" w:fill="auto"/>
            <w:noWrap/>
            <w:vAlign w:val="bottom"/>
          </w:tcPr>
          <w:p w14:paraId="111B5917" w14:textId="3809523E"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58,104</w:t>
            </w:r>
          </w:p>
        </w:tc>
      </w:tr>
      <w:tr w:rsidR="0028128D" w:rsidRPr="00290B01" w14:paraId="38FBD2CE" w14:textId="77777777" w:rsidTr="0028128D">
        <w:trPr>
          <w:trHeight w:val="288"/>
        </w:trPr>
        <w:tc>
          <w:tcPr>
            <w:tcW w:w="3119" w:type="dxa"/>
            <w:tcBorders>
              <w:top w:val="nil"/>
              <w:left w:val="nil"/>
              <w:bottom w:val="nil"/>
              <w:right w:val="nil"/>
            </w:tcBorders>
            <w:shd w:val="clear" w:color="auto" w:fill="auto"/>
            <w:noWrap/>
            <w:vAlign w:val="bottom"/>
          </w:tcPr>
          <w:p w14:paraId="39E405A3" w14:textId="4026015D"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Intangible assets</w:t>
            </w:r>
          </w:p>
        </w:tc>
        <w:tc>
          <w:tcPr>
            <w:tcW w:w="1843" w:type="dxa"/>
            <w:tcBorders>
              <w:top w:val="nil"/>
              <w:left w:val="nil"/>
              <w:bottom w:val="nil"/>
              <w:right w:val="nil"/>
            </w:tcBorders>
            <w:shd w:val="clear" w:color="auto" w:fill="auto"/>
            <w:noWrap/>
            <w:vAlign w:val="bottom"/>
          </w:tcPr>
          <w:p w14:paraId="7BB905EB" w14:textId="2BEF2041"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10,336</w:t>
            </w:r>
          </w:p>
        </w:tc>
        <w:tc>
          <w:tcPr>
            <w:tcW w:w="1843" w:type="dxa"/>
            <w:tcBorders>
              <w:top w:val="nil"/>
              <w:left w:val="nil"/>
              <w:bottom w:val="nil"/>
              <w:right w:val="nil"/>
            </w:tcBorders>
            <w:shd w:val="clear" w:color="auto" w:fill="auto"/>
            <w:noWrap/>
            <w:vAlign w:val="bottom"/>
          </w:tcPr>
          <w:p w14:paraId="0425020F" w14:textId="653D4768"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2,990</w:t>
            </w:r>
          </w:p>
        </w:tc>
        <w:tc>
          <w:tcPr>
            <w:tcW w:w="1984" w:type="dxa"/>
            <w:tcBorders>
              <w:top w:val="nil"/>
              <w:left w:val="nil"/>
              <w:bottom w:val="nil"/>
              <w:right w:val="nil"/>
            </w:tcBorders>
            <w:shd w:val="clear" w:color="auto" w:fill="auto"/>
            <w:noWrap/>
            <w:vAlign w:val="bottom"/>
          </w:tcPr>
          <w:p w14:paraId="1ACCAC54" w14:textId="60DB9025"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13,326</w:t>
            </w:r>
          </w:p>
        </w:tc>
      </w:tr>
      <w:tr w:rsidR="0028128D" w:rsidRPr="00290B01" w14:paraId="5A790199" w14:textId="77777777" w:rsidTr="0028128D">
        <w:trPr>
          <w:trHeight w:val="288"/>
        </w:trPr>
        <w:tc>
          <w:tcPr>
            <w:tcW w:w="3119" w:type="dxa"/>
            <w:tcBorders>
              <w:top w:val="nil"/>
              <w:left w:val="nil"/>
              <w:bottom w:val="nil"/>
              <w:right w:val="nil"/>
            </w:tcBorders>
            <w:shd w:val="clear" w:color="auto" w:fill="auto"/>
            <w:noWrap/>
            <w:vAlign w:val="bottom"/>
          </w:tcPr>
          <w:p w14:paraId="4A24D99A" w14:textId="0C868814"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Investment property</w:t>
            </w:r>
          </w:p>
        </w:tc>
        <w:tc>
          <w:tcPr>
            <w:tcW w:w="1843" w:type="dxa"/>
            <w:tcBorders>
              <w:top w:val="nil"/>
              <w:left w:val="nil"/>
              <w:bottom w:val="nil"/>
              <w:right w:val="nil"/>
            </w:tcBorders>
            <w:shd w:val="clear" w:color="auto" w:fill="auto"/>
            <w:noWrap/>
            <w:vAlign w:val="bottom"/>
          </w:tcPr>
          <w:p w14:paraId="02BCB467" w14:textId="29DB1BD1"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(71,420)</w:t>
            </w:r>
          </w:p>
        </w:tc>
        <w:tc>
          <w:tcPr>
            <w:tcW w:w="1843" w:type="dxa"/>
            <w:tcBorders>
              <w:top w:val="nil"/>
              <w:left w:val="nil"/>
              <w:bottom w:val="nil"/>
              <w:right w:val="nil"/>
            </w:tcBorders>
            <w:shd w:val="clear" w:color="auto" w:fill="auto"/>
            <w:noWrap/>
            <w:vAlign w:val="bottom"/>
          </w:tcPr>
          <w:p w14:paraId="1C618386" w14:textId="6235CD41"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w:t>
            </w:r>
          </w:p>
        </w:tc>
        <w:tc>
          <w:tcPr>
            <w:tcW w:w="1984" w:type="dxa"/>
            <w:tcBorders>
              <w:top w:val="nil"/>
              <w:left w:val="nil"/>
              <w:bottom w:val="nil"/>
              <w:right w:val="nil"/>
            </w:tcBorders>
            <w:shd w:val="clear" w:color="auto" w:fill="auto"/>
            <w:noWrap/>
            <w:vAlign w:val="bottom"/>
          </w:tcPr>
          <w:p w14:paraId="63FF76AF" w14:textId="34EDC603"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(71,420)</w:t>
            </w:r>
          </w:p>
        </w:tc>
      </w:tr>
      <w:tr w:rsidR="0028128D" w:rsidRPr="00290B01" w14:paraId="746EEF5A" w14:textId="77777777" w:rsidTr="0028128D">
        <w:trPr>
          <w:trHeight w:val="288"/>
        </w:trPr>
        <w:tc>
          <w:tcPr>
            <w:tcW w:w="3119" w:type="dxa"/>
            <w:tcBorders>
              <w:top w:val="nil"/>
              <w:left w:val="nil"/>
              <w:bottom w:val="nil"/>
              <w:right w:val="nil"/>
            </w:tcBorders>
            <w:shd w:val="clear" w:color="auto" w:fill="auto"/>
            <w:noWrap/>
            <w:vAlign w:val="bottom"/>
          </w:tcPr>
          <w:p w14:paraId="7E4E2809" w14:textId="6C8FA22D" w:rsidR="0028128D" w:rsidRDefault="007F7170" w:rsidP="00CD3678">
            <w:pPr>
              <w:rPr>
                <w:rFonts w:eastAsia="Times New Roman" w:cs="Times New Roman"/>
                <w:color w:val="000000"/>
                <w:sz w:val="18"/>
                <w:szCs w:val="18"/>
                <w:lang w:eastAsia="en-GB"/>
              </w:rPr>
            </w:pPr>
            <w:r>
              <w:rPr>
                <w:rFonts w:eastAsia="Times New Roman" w:cs="Times New Roman"/>
                <w:color w:val="000000"/>
                <w:sz w:val="18"/>
                <w:szCs w:val="18"/>
                <w:lang w:eastAsia="en-GB"/>
              </w:rPr>
              <w:t>Right-of-use assets</w:t>
            </w:r>
          </w:p>
        </w:tc>
        <w:tc>
          <w:tcPr>
            <w:tcW w:w="1843" w:type="dxa"/>
            <w:tcBorders>
              <w:top w:val="nil"/>
              <w:left w:val="nil"/>
              <w:bottom w:val="nil"/>
              <w:right w:val="nil"/>
            </w:tcBorders>
            <w:shd w:val="clear" w:color="auto" w:fill="auto"/>
            <w:noWrap/>
            <w:vAlign w:val="bottom"/>
          </w:tcPr>
          <w:p w14:paraId="1762E1B3" w14:textId="796CF43F" w:rsidR="0028128D" w:rsidRPr="00290B01" w:rsidRDefault="007F7170"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w:t>
            </w:r>
            <w:proofErr w:type="gramStart"/>
            <w:r>
              <w:rPr>
                <w:rFonts w:eastAsia="Times New Roman" w:cs="Times New Roman"/>
                <w:color w:val="000000"/>
                <w:sz w:val="18"/>
                <w:szCs w:val="18"/>
                <w:lang w:eastAsia="en-GB"/>
              </w:rPr>
              <w:t>41,166)</w:t>
            </w:r>
            <w:r w:rsidR="0028128D">
              <w:rPr>
                <w:rFonts w:eastAsia="Times New Roman" w:cs="Times New Roman"/>
                <w:color w:val="000000"/>
                <w:sz w:val="18"/>
                <w:szCs w:val="18"/>
                <w:lang w:eastAsia="en-GB"/>
              </w:rPr>
              <w:t>*</w:t>
            </w:r>
            <w:proofErr w:type="gramEnd"/>
          </w:p>
        </w:tc>
        <w:tc>
          <w:tcPr>
            <w:tcW w:w="1843" w:type="dxa"/>
            <w:tcBorders>
              <w:top w:val="nil"/>
              <w:left w:val="nil"/>
              <w:bottom w:val="nil"/>
              <w:right w:val="nil"/>
            </w:tcBorders>
            <w:shd w:val="clear" w:color="auto" w:fill="auto"/>
            <w:noWrap/>
            <w:vAlign w:val="bottom"/>
          </w:tcPr>
          <w:p w14:paraId="47795064" w14:textId="2706D554"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17,034</w:t>
            </w:r>
          </w:p>
        </w:tc>
        <w:tc>
          <w:tcPr>
            <w:tcW w:w="1984" w:type="dxa"/>
            <w:tcBorders>
              <w:top w:val="nil"/>
              <w:left w:val="nil"/>
              <w:bottom w:val="nil"/>
              <w:right w:val="nil"/>
            </w:tcBorders>
            <w:shd w:val="clear" w:color="auto" w:fill="auto"/>
            <w:noWrap/>
            <w:vAlign w:val="bottom"/>
          </w:tcPr>
          <w:p w14:paraId="140DE74B" w14:textId="4599AE03"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(24,132)</w:t>
            </w:r>
          </w:p>
        </w:tc>
      </w:tr>
      <w:tr w:rsidR="0028128D" w:rsidRPr="00290B01" w14:paraId="4A8510E8" w14:textId="77777777" w:rsidTr="0028128D">
        <w:trPr>
          <w:trHeight w:val="288"/>
        </w:trPr>
        <w:tc>
          <w:tcPr>
            <w:tcW w:w="3119" w:type="dxa"/>
            <w:tcBorders>
              <w:top w:val="nil"/>
              <w:left w:val="nil"/>
              <w:bottom w:val="nil"/>
              <w:right w:val="nil"/>
            </w:tcBorders>
            <w:shd w:val="clear" w:color="auto" w:fill="auto"/>
            <w:noWrap/>
            <w:vAlign w:val="bottom"/>
          </w:tcPr>
          <w:p w14:paraId="712F1902" w14:textId="6C75499F"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Other assets</w:t>
            </w:r>
          </w:p>
        </w:tc>
        <w:tc>
          <w:tcPr>
            <w:tcW w:w="1843" w:type="dxa"/>
            <w:tcBorders>
              <w:top w:val="nil"/>
              <w:left w:val="nil"/>
              <w:bottom w:val="nil"/>
              <w:right w:val="nil"/>
            </w:tcBorders>
            <w:shd w:val="clear" w:color="auto" w:fill="auto"/>
            <w:noWrap/>
            <w:vAlign w:val="bottom"/>
          </w:tcPr>
          <w:p w14:paraId="36DF50D9" w14:textId="7E3B0695"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5,697</w:t>
            </w:r>
          </w:p>
        </w:tc>
        <w:tc>
          <w:tcPr>
            <w:tcW w:w="1843" w:type="dxa"/>
            <w:tcBorders>
              <w:top w:val="nil"/>
              <w:left w:val="nil"/>
              <w:bottom w:val="nil"/>
              <w:right w:val="nil"/>
            </w:tcBorders>
            <w:shd w:val="clear" w:color="auto" w:fill="auto"/>
            <w:noWrap/>
            <w:vAlign w:val="bottom"/>
          </w:tcPr>
          <w:p w14:paraId="302D56B2" w14:textId="12621101"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1,254</w:t>
            </w:r>
          </w:p>
        </w:tc>
        <w:tc>
          <w:tcPr>
            <w:tcW w:w="1984" w:type="dxa"/>
            <w:tcBorders>
              <w:top w:val="nil"/>
              <w:left w:val="nil"/>
              <w:bottom w:val="nil"/>
              <w:right w:val="nil"/>
            </w:tcBorders>
            <w:shd w:val="clear" w:color="auto" w:fill="auto"/>
            <w:noWrap/>
            <w:vAlign w:val="bottom"/>
          </w:tcPr>
          <w:p w14:paraId="5663B78A" w14:textId="1FEFC8D1"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6,951</w:t>
            </w:r>
          </w:p>
        </w:tc>
      </w:tr>
      <w:tr w:rsidR="0028128D" w:rsidRPr="00290B01" w14:paraId="281D16BE" w14:textId="77777777" w:rsidTr="0028128D">
        <w:trPr>
          <w:trHeight w:val="288"/>
        </w:trPr>
        <w:tc>
          <w:tcPr>
            <w:tcW w:w="3119" w:type="dxa"/>
            <w:tcBorders>
              <w:top w:val="nil"/>
              <w:left w:val="nil"/>
              <w:bottom w:val="nil"/>
              <w:right w:val="nil"/>
            </w:tcBorders>
            <w:shd w:val="clear" w:color="auto" w:fill="auto"/>
            <w:noWrap/>
            <w:vAlign w:val="bottom"/>
          </w:tcPr>
          <w:p w14:paraId="05DBA4CE" w14:textId="1BF7769B"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Provision for claims</w:t>
            </w:r>
          </w:p>
        </w:tc>
        <w:tc>
          <w:tcPr>
            <w:tcW w:w="1843" w:type="dxa"/>
            <w:tcBorders>
              <w:top w:val="nil"/>
              <w:left w:val="nil"/>
              <w:bottom w:val="nil"/>
              <w:right w:val="nil"/>
            </w:tcBorders>
            <w:shd w:val="clear" w:color="auto" w:fill="auto"/>
            <w:noWrap/>
            <w:vAlign w:val="bottom"/>
          </w:tcPr>
          <w:p w14:paraId="564E3080" w14:textId="6E61A8C4"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(91,228)</w:t>
            </w:r>
          </w:p>
        </w:tc>
        <w:tc>
          <w:tcPr>
            <w:tcW w:w="1843" w:type="dxa"/>
            <w:tcBorders>
              <w:top w:val="nil"/>
              <w:left w:val="nil"/>
              <w:bottom w:val="nil"/>
              <w:right w:val="nil"/>
            </w:tcBorders>
            <w:shd w:val="clear" w:color="auto" w:fill="auto"/>
            <w:noWrap/>
            <w:vAlign w:val="bottom"/>
          </w:tcPr>
          <w:p w14:paraId="10A78B26" w14:textId="6093EFC6" w:rsidR="0028128D"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46,681</w:t>
            </w:r>
          </w:p>
        </w:tc>
        <w:tc>
          <w:tcPr>
            <w:tcW w:w="1984" w:type="dxa"/>
            <w:tcBorders>
              <w:top w:val="nil"/>
              <w:left w:val="nil"/>
              <w:bottom w:val="nil"/>
              <w:right w:val="nil"/>
            </w:tcBorders>
            <w:shd w:val="clear" w:color="auto" w:fill="auto"/>
            <w:noWrap/>
            <w:vAlign w:val="bottom"/>
          </w:tcPr>
          <w:p w14:paraId="0691F2D2" w14:textId="47F684E2" w:rsidR="0028128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(44,547)</w:t>
            </w:r>
          </w:p>
        </w:tc>
      </w:tr>
      <w:tr w:rsidR="007F7170" w:rsidRPr="00290B01" w14:paraId="1027D066" w14:textId="77777777" w:rsidTr="0028128D">
        <w:trPr>
          <w:trHeight w:val="288"/>
        </w:trPr>
        <w:tc>
          <w:tcPr>
            <w:tcW w:w="3119" w:type="dxa"/>
            <w:tcBorders>
              <w:top w:val="nil"/>
              <w:left w:val="nil"/>
              <w:bottom w:val="nil"/>
              <w:right w:val="nil"/>
            </w:tcBorders>
            <w:shd w:val="clear" w:color="auto" w:fill="auto"/>
            <w:noWrap/>
            <w:vAlign w:val="bottom"/>
          </w:tcPr>
          <w:p w14:paraId="296BD068" w14:textId="26325AED" w:rsidR="007F7170" w:rsidRDefault="007F7170" w:rsidP="00CD3678">
            <w:pPr>
              <w:rPr>
                <w:rFonts w:eastAsia="Times New Roman" w:cs="Times New Roman"/>
                <w:color w:val="000000"/>
                <w:sz w:val="18"/>
                <w:szCs w:val="18"/>
                <w:lang w:eastAsia="en-GB"/>
              </w:rPr>
            </w:pPr>
            <w:r>
              <w:rPr>
                <w:rFonts w:eastAsia="Times New Roman" w:cs="Times New Roman"/>
                <w:color w:val="000000"/>
                <w:sz w:val="18"/>
                <w:szCs w:val="18"/>
                <w:lang w:eastAsia="en-GB"/>
              </w:rPr>
              <w:t>Lease liabilities</w:t>
            </w:r>
          </w:p>
        </w:tc>
        <w:tc>
          <w:tcPr>
            <w:tcW w:w="1843" w:type="dxa"/>
            <w:tcBorders>
              <w:top w:val="nil"/>
              <w:left w:val="nil"/>
              <w:bottom w:val="nil"/>
              <w:right w:val="nil"/>
            </w:tcBorders>
            <w:shd w:val="clear" w:color="auto" w:fill="auto"/>
            <w:noWrap/>
            <w:vAlign w:val="bottom"/>
          </w:tcPr>
          <w:p w14:paraId="2826E193" w14:textId="651DDCD3" w:rsidR="007F7170" w:rsidRDefault="007F7170"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43,397</w:t>
            </w:r>
          </w:p>
        </w:tc>
        <w:tc>
          <w:tcPr>
            <w:tcW w:w="1843" w:type="dxa"/>
            <w:tcBorders>
              <w:top w:val="nil"/>
              <w:left w:val="nil"/>
              <w:bottom w:val="nil"/>
              <w:right w:val="nil"/>
            </w:tcBorders>
            <w:shd w:val="clear" w:color="auto" w:fill="auto"/>
            <w:noWrap/>
            <w:vAlign w:val="bottom"/>
          </w:tcPr>
          <w:p w14:paraId="76A89C4A" w14:textId="0C95BA11" w:rsidR="007F7170" w:rsidRPr="00290B01" w:rsidRDefault="007F7170" w:rsidP="0028128D">
            <w:pPr>
              <w:jc w:val="right"/>
              <w:rPr>
                <w:rFonts w:eastAsia="Times New Roman" w:cs="Times New Roman"/>
                <w:sz w:val="18"/>
                <w:szCs w:val="18"/>
                <w:lang w:eastAsia="en-GB"/>
              </w:rPr>
            </w:pPr>
            <w:r>
              <w:rPr>
                <w:rFonts w:eastAsia="Times New Roman" w:cs="Times New Roman"/>
                <w:sz w:val="18"/>
                <w:szCs w:val="18"/>
                <w:lang w:eastAsia="en-GB"/>
              </w:rPr>
              <w:t>(15,477)</w:t>
            </w:r>
          </w:p>
        </w:tc>
        <w:tc>
          <w:tcPr>
            <w:tcW w:w="1984" w:type="dxa"/>
            <w:tcBorders>
              <w:top w:val="nil"/>
              <w:left w:val="nil"/>
              <w:bottom w:val="nil"/>
              <w:right w:val="nil"/>
            </w:tcBorders>
            <w:shd w:val="clear" w:color="auto" w:fill="auto"/>
            <w:noWrap/>
            <w:vAlign w:val="bottom"/>
          </w:tcPr>
          <w:p w14:paraId="3D80C58F" w14:textId="61EE826A" w:rsidR="007F7170"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27,920</w:t>
            </w:r>
          </w:p>
        </w:tc>
      </w:tr>
      <w:tr w:rsidR="0038677D" w:rsidRPr="00290B01" w14:paraId="37E8D9C3" w14:textId="77777777" w:rsidTr="0028128D">
        <w:trPr>
          <w:trHeight w:val="288"/>
        </w:trPr>
        <w:tc>
          <w:tcPr>
            <w:tcW w:w="3119" w:type="dxa"/>
            <w:tcBorders>
              <w:top w:val="nil"/>
              <w:left w:val="nil"/>
              <w:bottom w:val="nil"/>
              <w:right w:val="nil"/>
            </w:tcBorders>
            <w:shd w:val="clear" w:color="auto" w:fill="auto"/>
            <w:noWrap/>
            <w:vAlign w:val="bottom"/>
          </w:tcPr>
          <w:p w14:paraId="6D62187D" w14:textId="7A152DAE" w:rsidR="0038677D" w:rsidRPr="00E209F8"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Other liabilities</w:t>
            </w:r>
          </w:p>
        </w:tc>
        <w:tc>
          <w:tcPr>
            <w:tcW w:w="1843" w:type="dxa"/>
            <w:tcBorders>
              <w:top w:val="nil"/>
              <w:left w:val="nil"/>
              <w:bottom w:val="nil"/>
              <w:right w:val="nil"/>
            </w:tcBorders>
            <w:shd w:val="clear" w:color="auto" w:fill="auto"/>
            <w:noWrap/>
            <w:vAlign w:val="bottom"/>
          </w:tcPr>
          <w:p w14:paraId="6752562A" w14:textId="52A43DB9" w:rsidR="0038677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7,779</w:t>
            </w:r>
          </w:p>
        </w:tc>
        <w:tc>
          <w:tcPr>
            <w:tcW w:w="1843" w:type="dxa"/>
            <w:tcBorders>
              <w:top w:val="nil"/>
              <w:left w:val="nil"/>
              <w:bottom w:val="nil"/>
              <w:right w:val="nil"/>
            </w:tcBorders>
            <w:shd w:val="clear" w:color="auto" w:fill="auto"/>
            <w:noWrap/>
            <w:vAlign w:val="bottom"/>
          </w:tcPr>
          <w:p w14:paraId="5CC072AE" w14:textId="5DD3E799" w:rsidR="0038677D" w:rsidRPr="006304E8" w:rsidRDefault="007F7170" w:rsidP="0028128D">
            <w:pPr>
              <w:jc w:val="right"/>
              <w:rPr>
                <w:rFonts w:eastAsia="Times New Roman" w:cs="Times New Roman"/>
                <w:sz w:val="18"/>
                <w:szCs w:val="18"/>
                <w:lang w:eastAsia="en-GB"/>
              </w:rPr>
            </w:pPr>
            <w:r>
              <w:rPr>
                <w:rFonts w:eastAsia="Times New Roman" w:cs="Times New Roman"/>
                <w:sz w:val="18"/>
                <w:szCs w:val="18"/>
                <w:lang w:eastAsia="en-GB"/>
              </w:rPr>
              <w:t>2,051</w:t>
            </w:r>
          </w:p>
        </w:tc>
        <w:tc>
          <w:tcPr>
            <w:tcW w:w="1984" w:type="dxa"/>
            <w:tcBorders>
              <w:top w:val="nil"/>
              <w:left w:val="nil"/>
              <w:bottom w:val="nil"/>
              <w:right w:val="nil"/>
            </w:tcBorders>
            <w:shd w:val="clear" w:color="auto" w:fill="auto"/>
            <w:noWrap/>
            <w:vAlign w:val="bottom"/>
          </w:tcPr>
          <w:p w14:paraId="5DFC6CDA" w14:textId="7DFDE02A" w:rsidR="0038677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9,850</w:t>
            </w:r>
          </w:p>
        </w:tc>
      </w:tr>
      <w:tr w:rsidR="0038677D" w:rsidRPr="00290B01" w14:paraId="4CD2CF39" w14:textId="77777777" w:rsidTr="0028128D">
        <w:trPr>
          <w:trHeight w:val="300"/>
        </w:trPr>
        <w:tc>
          <w:tcPr>
            <w:tcW w:w="3119" w:type="dxa"/>
            <w:tcBorders>
              <w:top w:val="single" w:sz="8" w:space="0" w:color="auto"/>
              <w:left w:val="nil"/>
              <w:bottom w:val="double" w:sz="6" w:space="0" w:color="auto"/>
              <w:right w:val="nil"/>
            </w:tcBorders>
            <w:shd w:val="clear" w:color="auto" w:fill="auto"/>
            <w:noWrap/>
            <w:vAlign w:val="bottom"/>
            <w:hideMark/>
          </w:tcPr>
          <w:p w14:paraId="7AF6DD43" w14:textId="482F1648" w:rsidR="0038677D" w:rsidRPr="00290B01" w:rsidRDefault="0028128D"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Net tax assets</w:t>
            </w:r>
          </w:p>
        </w:tc>
        <w:tc>
          <w:tcPr>
            <w:tcW w:w="1843" w:type="dxa"/>
            <w:tcBorders>
              <w:top w:val="single" w:sz="8" w:space="0" w:color="auto"/>
              <w:left w:val="nil"/>
              <w:bottom w:val="double" w:sz="6" w:space="0" w:color="auto"/>
              <w:right w:val="nil"/>
            </w:tcBorders>
            <w:shd w:val="clear" w:color="auto" w:fill="auto"/>
            <w:noWrap/>
            <w:vAlign w:val="bottom"/>
            <w:hideMark/>
          </w:tcPr>
          <w:p w14:paraId="6B9341DB" w14:textId="289D1912" w:rsidR="0038677D" w:rsidRPr="00290B01" w:rsidRDefault="0028128D" w:rsidP="0028128D">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28,029</w:t>
            </w:r>
            <w:r w:rsidR="0038677D" w:rsidRPr="00290B01">
              <w:rPr>
                <w:rFonts w:eastAsia="Times New Roman" w:cs="Times New Roman"/>
                <w:b/>
                <w:bCs/>
                <w:color w:val="000000"/>
                <w:sz w:val="18"/>
                <w:szCs w:val="18"/>
                <w:lang w:eastAsia="en-GB"/>
              </w:rPr>
              <w:t> </w:t>
            </w:r>
          </w:p>
        </w:tc>
        <w:tc>
          <w:tcPr>
            <w:tcW w:w="1843" w:type="dxa"/>
            <w:tcBorders>
              <w:top w:val="single" w:sz="8" w:space="0" w:color="auto"/>
              <w:left w:val="nil"/>
              <w:bottom w:val="double" w:sz="6" w:space="0" w:color="auto"/>
              <w:right w:val="nil"/>
            </w:tcBorders>
            <w:shd w:val="clear" w:color="auto" w:fill="auto"/>
            <w:noWrap/>
            <w:vAlign w:val="bottom"/>
          </w:tcPr>
          <w:p w14:paraId="0B526BC4" w14:textId="75114F07" w:rsidR="0038677D" w:rsidRPr="00290B01" w:rsidRDefault="007F7170" w:rsidP="0028128D">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29,75</w:t>
            </w:r>
            <w:r w:rsidR="00FC0F36">
              <w:rPr>
                <w:rFonts w:eastAsia="Times New Roman" w:cs="Times New Roman"/>
                <w:b/>
                <w:bCs/>
                <w:color w:val="000000"/>
                <w:sz w:val="18"/>
                <w:szCs w:val="18"/>
                <w:lang w:eastAsia="en-GB"/>
              </w:rPr>
              <w:t>6</w:t>
            </w:r>
          </w:p>
        </w:tc>
        <w:tc>
          <w:tcPr>
            <w:tcW w:w="1984" w:type="dxa"/>
            <w:tcBorders>
              <w:top w:val="single" w:sz="8" w:space="0" w:color="auto"/>
              <w:left w:val="nil"/>
              <w:bottom w:val="double" w:sz="6" w:space="0" w:color="auto"/>
              <w:right w:val="nil"/>
            </w:tcBorders>
            <w:shd w:val="clear" w:color="auto" w:fill="auto"/>
            <w:noWrap/>
            <w:vAlign w:val="bottom"/>
          </w:tcPr>
          <w:p w14:paraId="73FD05C2" w14:textId="3222E0F3" w:rsidR="0038677D" w:rsidRPr="00703807" w:rsidRDefault="007F7170" w:rsidP="0028128D">
            <w:pPr>
              <w:jc w:val="right"/>
              <w:rPr>
                <w:rFonts w:eastAsia="Times New Roman" w:cs="Times New Roman"/>
                <w:b/>
                <w:bCs/>
                <w:color w:val="000000"/>
                <w:sz w:val="18"/>
                <w:szCs w:val="18"/>
                <w:lang w:val="en-US" w:eastAsia="en-GB"/>
              </w:rPr>
            </w:pPr>
            <w:r w:rsidRPr="00703807">
              <w:rPr>
                <w:rFonts w:eastAsia="Times New Roman" w:cs="Times New Roman"/>
                <w:b/>
                <w:bCs/>
                <w:color w:val="000000"/>
                <w:sz w:val="18"/>
                <w:szCs w:val="18"/>
                <w:lang w:val="en-US" w:eastAsia="en-GB"/>
              </w:rPr>
              <w:t>57,785</w:t>
            </w:r>
          </w:p>
        </w:tc>
      </w:tr>
    </w:tbl>
    <w:p w14:paraId="607CF30C" w14:textId="4515B371" w:rsidR="00D20412" w:rsidRPr="00E2513E" w:rsidRDefault="00E2513E" w:rsidP="00D20412">
      <w:pPr>
        <w:spacing w:before="120" w:after="120"/>
        <w:rPr>
          <w:i/>
          <w:iCs/>
          <w:sz w:val="17"/>
          <w:szCs w:val="17"/>
        </w:rPr>
      </w:pPr>
      <w:r>
        <w:rPr>
          <w:i/>
          <w:iCs/>
          <w:sz w:val="17"/>
          <w:szCs w:val="17"/>
        </w:rPr>
        <w:t>*</w:t>
      </w:r>
      <w:r w:rsidR="0028128D" w:rsidRPr="00E2513E">
        <w:rPr>
          <w:i/>
          <w:iCs/>
          <w:sz w:val="17"/>
          <w:szCs w:val="17"/>
        </w:rPr>
        <w:t>Due to IFRS 16 i</w:t>
      </w:r>
      <w:r w:rsidRPr="00E2513E">
        <w:rPr>
          <w:i/>
          <w:iCs/>
          <w:sz w:val="17"/>
          <w:szCs w:val="17"/>
        </w:rPr>
        <w:t>nitial application</w:t>
      </w:r>
    </w:p>
    <w:tbl>
      <w:tblPr>
        <w:tblW w:w="8789" w:type="dxa"/>
        <w:tblLook w:val="04A0" w:firstRow="1" w:lastRow="0" w:firstColumn="1" w:lastColumn="0" w:noHBand="0" w:noVBand="1"/>
      </w:tblPr>
      <w:tblGrid>
        <w:gridCol w:w="3119"/>
        <w:gridCol w:w="1843"/>
        <w:gridCol w:w="1843"/>
        <w:gridCol w:w="1984"/>
      </w:tblGrid>
      <w:tr w:rsidR="0028128D" w:rsidRPr="00290B01" w14:paraId="49DB0A95" w14:textId="77777777" w:rsidTr="00CD3678">
        <w:trPr>
          <w:trHeight w:val="305"/>
        </w:trPr>
        <w:tc>
          <w:tcPr>
            <w:tcW w:w="3119" w:type="dxa"/>
            <w:tcBorders>
              <w:top w:val="nil"/>
              <w:left w:val="nil"/>
              <w:bottom w:val="single" w:sz="8" w:space="0" w:color="auto"/>
              <w:right w:val="nil"/>
            </w:tcBorders>
            <w:shd w:val="clear" w:color="auto" w:fill="auto"/>
            <w:noWrap/>
            <w:vAlign w:val="bottom"/>
            <w:hideMark/>
          </w:tcPr>
          <w:p w14:paraId="4F2922A3" w14:textId="77777777" w:rsidR="0028128D" w:rsidRPr="00290B01" w:rsidRDefault="0028128D"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lastRenderedPageBreak/>
              <w:t>Temporary differences due to</w:t>
            </w:r>
            <w:r w:rsidRPr="00290B01">
              <w:rPr>
                <w:rFonts w:eastAsia="Times New Roman" w:cs="Times New Roman"/>
                <w:b/>
                <w:bCs/>
                <w:color w:val="000000"/>
                <w:sz w:val="18"/>
                <w:szCs w:val="18"/>
                <w:lang w:eastAsia="en-GB"/>
              </w:rPr>
              <w:t> </w:t>
            </w:r>
          </w:p>
        </w:tc>
        <w:tc>
          <w:tcPr>
            <w:tcW w:w="1843" w:type="dxa"/>
            <w:tcBorders>
              <w:top w:val="nil"/>
              <w:left w:val="nil"/>
              <w:bottom w:val="single" w:sz="8" w:space="0" w:color="auto"/>
              <w:right w:val="nil"/>
            </w:tcBorders>
            <w:shd w:val="clear" w:color="auto" w:fill="auto"/>
            <w:noWrap/>
            <w:vAlign w:val="bottom"/>
            <w:hideMark/>
          </w:tcPr>
          <w:p w14:paraId="7822B62E" w14:textId="77777777" w:rsidR="0028128D" w:rsidRDefault="0028128D"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r>
              <w:rPr>
                <w:rFonts w:eastAsia="Times New Roman" w:cs="Times New Roman"/>
                <w:b/>
                <w:bCs/>
                <w:color w:val="000000"/>
                <w:sz w:val="18"/>
                <w:szCs w:val="18"/>
                <w:lang w:eastAsia="en-GB"/>
              </w:rPr>
              <w:t xml:space="preserve">Balance as at </w:t>
            </w:r>
          </w:p>
          <w:p w14:paraId="66B40349" w14:textId="10790175" w:rsidR="0028128D" w:rsidRPr="00290B01" w:rsidRDefault="0028128D" w:rsidP="00CD3678">
            <w:pPr>
              <w:jc w:val="center"/>
              <w:rPr>
                <w:rFonts w:eastAsia="Times New Roman" w:cs="Times New Roman"/>
                <w:b/>
                <w:bCs/>
                <w:color w:val="000000"/>
                <w:sz w:val="18"/>
                <w:szCs w:val="18"/>
                <w:lang w:eastAsia="en-GB"/>
              </w:rPr>
            </w:pPr>
            <w:r>
              <w:rPr>
                <w:rFonts w:eastAsia="Times New Roman" w:cs="Times New Roman"/>
                <w:b/>
                <w:bCs/>
                <w:color w:val="000000"/>
                <w:sz w:val="18"/>
                <w:szCs w:val="18"/>
                <w:lang w:eastAsia="en-GB"/>
              </w:rPr>
              <w:t>31 December 2017</w:t>
            </w:r>
          </w:p>
        </w:tc>
        <w:tc>
          <w:tcPr>
            <w:tcW w:w="1843" w:type="dxa"/>
            <w:tcBorders>
              <w:top w:val="nil"/>
              <w:left w:val="nil"/>
              <w:bottom w:val="single" w:sz="8" w:space="0" w:color="auto"/>
              <w:right w:val="nil"/>
            </w:tcBorders>
            <w:shd w:val="clear" w:color="auto" w:fill="auto"/>
            <w:noWrap/>
            <w:vAlign w:val="bottom"/>
            <w:hideMark/>
          </w:tcPr>
          <w:p w14:paraId="22EEFC09" w14:textId="77777777" w:rsidR="0028128D" w:rsidRPr="00290B01" w:rsidRDefault="0028128D"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(Charged)/credited to profit or loss</w:t>
            </w:r>
          </w:p>
        </w:tc>
        <w:tc>
          <w:tcPr>
            <w:tcW w:w="1984" w:type="dxa"/>
            <w:tcBorders>
              <w:top w:val="nil"/>
              <w:left w:val="nil"/>
              <w:bottom w:val="single" w:sz="8" w:space="0" w:color="auto"/>
              <w:right w:val="nil"/>
            </w:tcBorders>
            <w:shd w:val="clear" w:color="auto" w:fill="auto"/>
            <w:noWrap/>
            <w:vAlign w:val="bottom"/>
            <w:hideMark/>
          </w:tcPr>
          <w:p w14:paraId="4547AA0E" w14:textId="77777777" w:rsidR="0028128D" w:rsidRDefault="0028128D"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 xml:space="preserve">Balance as at </w:t>
            </w:r>
          </w:p>
          <w:p w14:paraId="6953AB2F" w14:textId="7497D366" w:rsidR="0028128D" w:rsidRPr="00290B01" w:rsidRDefault="0028128D" w:rsidP="00CD3678">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31 December 2018</w:t>
            </w:r>
          </w:p>
        </w:tc>
      </w:tr>
      <w:tr w:rsidR="0028128D" w:rsidRPr="00290B01" w14:paraId="2F248318" w14:textId="77777777" w:rsidTr="00CD3678">
        <w:trPr>
          <w:trHeight w:val="288"/>
        </w:trPr>
        <w:tc>
          <w:tcPr>
            <w:tcW w:w="3119" w:type="dxa"/>
            <w:tcBorders>
              <w:top w:val="nil"/>
              <w:left w:val="nil"/>
              <w:bottom w:val="nil"/>
              <w:right w:val="nil"/>
            </w:tcBorders>
            <w:shd w:val="clear" w:color="auto" w:fill="auto"/>
            <w:noWrap/>
            <w:vAlign w:val="bottom"/>
            <w:hideMark/>
          </w:tcPr>
          <w:p w14:paraId="7331CE2B" w14:textId="77777777" w:rsidR="0028128D" w:rsidRPr="00290B01"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Cash and bank accounts</w:t>
            </w:r>
          </w:p>
        </w:tc>
        <w:tc>
          <w:tcPr>
            <w:tcW w:w="1843" w:type="dxa"/>
            <w:tcBorders>
              <w:top w:val="nil"/>
              <w:left w:val="nil"/>
              <w:bottom w:val="nil"/>
              <w:right w:val="nil"/>
            </w:tcBorders>
            <w:shd w:val="clear" w:color="auto" w:fill="auto"/>
            <w:noWrap/>
            <w:vAlign w:val="bottom"/>
            <w:hideMark/>
          </w:tcPr>
          <w:p w14:paraId="58BF31DE" w14:textId="78BAF9A7" w:rsidR="0028128D" w:rsidRPr="00290B01" w:rsidRDefault="0028128D"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83,089</w:t>
            </w:r>
          </w:p>
        </w:tc>
        <w:tc>
          <w:tcPr>
            <w:tcW w:w="1843" w:type="dxa"/>
            <w:tcBorders>
              <w:top w:val="nil"/>
              <w:left w:val="nil"/>
              <w:bottom w:val="nil"/>
              <w:right w:val="nil"/>
            </w:tcBorders>
            <w:shd w:val="clear" w:color="auto" w:fill="auto"/>
            <w:noWrap/>
            <w:vAlign w:val="bottom"/>
          </w:tcPr>
          <w:p w14:paraId="39E9015E" w14:textId="6406ABAF"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163</w:t>
            </w:r>
          </w:p>
        </w:tc>
        <w:tc>
          <w:tcPr>
            <w:tcW w:w="1984" w:type="dxa"/>
            <w:tcBorders>
              <w:top w:val="nil"/>
              <w:left w:val="nil"/>
              <w:bottom w:val="nil"/>
              <w:right w:val="nil"/>
            </w:tcBorders>
            <w:shd w:val="clear" w:color="auto" w:fill="auto"/>
            <w:noWrap/>
            <w:vAlign w:val="bottom"/>
          </w:tcPr>
          <w:p w14:paraId="3AE64652" w14:textId="7259614E" w:rsidR="0028128D" w:rsidRPr="00290B01"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83,252</w:t>
            </w:r>
          </w:p>
        </w:tc>
      </w:tr>
      <w:tr w:rsidR="0028128D" w:rsidRPr="00290B01" w14:paraId="5C184F34" w14:textId="77777777" w:rsidTr="00CD3678">
        <w:trPr>
          <w:trHeight w:val="299"/>
        </w:trPr>
        <w:tc>
          <w:tcPr>
            <w:tcW w:w="3119" w:type="dxa"/>
            <w:tcBorders>
              <w:top w:val="nil"/>
              <w:left w:val="nil"/>
              <w:bottom w:val="nil"/>
              <w:right w:val="nil"/>
            </w:tcBorders>
            <w:shd w:val="clear" w:color="auto" w:fill="auto"/>
            <w:noWrap/>
            <w:vAlign w:val="bottom"/>
          </w:tcPr>
          <w:p w14:paraId="26C5F840"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Deposits with banks</w:t>
            </w:r>
          </w:p>
        </w:tc>
        <w:tc>
          <w:tcPr>
            <w:tcW w:w="1843" w:type="dxa"/>
            <w:tcBorders>
              <w:top w:val="nil"/>
              <w:left w:val="nil"/>
              <w:bottom w:val="nil"/>
              <w:right w:val="nil"/>
            </w:tcBorders>
            <w:shd w:val="clear" w:color="auto" w:fill="auto"/>
            <w:noWrap/>
            <w:vAlign w:val="bottom"/>
          </w:tcPr>
          <w:p w14:paraId="13D18280" w14:textId="7DCCA3E0"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(19,194)</w:t>
            </w:r>
          </w:p>
        </w:tc>
        <w:tc>
          <w:tcPr>
            <w:tcW w:w="1843" w:type="dxa"/>
            <w:tcBorders>
              <w:top w:val="nil"/>
              <w:left w:val="nil"/>
              <w:bottom w:val="nil"/>
              <w:right w:val="nil"/>
            </w:tcBorders>
            <w:shd w:val="clear" w:color="auto" w:fill="auto"/>
            <w:noWrap/>
            <w:vAlign w:val="bottom"/>
          </w:tcPr>
          <w:p w14:paraId="67881468" w14:textId="4B8DA1B8"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16,376</w:t>
            </w:r>
          </w:p>
        </w:tc>
        <w:tc>
          <w:tcPr>
            <w:tcW w:w="1984" w:type="dxa"/>
            <w:tcBorders>
              <w:top w:val="nil"/>
              <w:left w:val="nil"/>
              <w:bottom w:val="nil"/>
              <w:right w:val="nil"/>
            </w:tcBorders>
            <w:shd w:val="clear" w:color="auto" w:fill="auto"/>
            <w:noWrap/>
            <w:vAlign w:val="bottom"/>
          </w:tcPr>
          <w:p w14:paraId="6A83C48D" w14:textId="3878AFB8" w:rsidR="0028128D"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(2,818)</w:t>
            </w:r>
          </w:p>
        </w:tc>
      </w:tr>
      <w:tr w:rsidR="0028128D" w:rsidRPr="00290B01" w14:paraId="428D65AE" w14:textId="77777777" w:rsidTr="00CD3678">
        <w:trPr>
          <w:trHeight w:val="288"/>
        </w:trPr>
        <w:tc>
          <w:tcPr>
            <w:tcW w:w="3119" w:type="dxa"/>
            <w:tcBorders>
              <w:top w:val="nil"/>
              <w:left w:val="nil"/>
              <w:bottom w:val="nil"/>
              <w:right w:val="nil"/>
            </w:tcBorders>
            <w:shd w:val="clear" w:color="auto" w:fill="auto"/>
            <w:noWrap/>
            <w:vAlign w:val="bottom"/>
          </w:tcPr>
          <w:p w14:paraId="2BA37301"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Receivables</w:t>
            </w:r>
          </w:p>
        </w:tc>
        <w:tc>
          <w:tcPr>
            <w:tcW w:w="1843" w:type="dxa"/>
            <w:tcBorders>
              <w:top w:val="nil"/>
              <w:left w:val="nil"/>
              <w:bottom w:val="nil"/>
              <w:right w:val="nil"/>
            </w:tcBorders>
            <w:shd w:val="clear" w:color="auto" w:fill="auto"/>
            <w:noWrap/>
            <w:vAlign w:val="bottom"/>
          </w:tcPr>
          <w:p w14:paraId="387FC388" w14:textId="4A4D3FC4"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7,836</w:t>
            </w:r>
          </w:p>
        </w:tc>
        <w:tc>
          <w:tcPr>
            <w:tcW w:w="1843" w:type="dxa"/>
            <w:tcBorders>
              <w:top w:val="nil"/>
              <w:left w:val="nil"/>
              <w:bottom w:val="nil"/>
              <w:right w:val="nil"/>
            </w:tcBorders>
            <w:shd w:val="clear" w:color="auto" w:fill="auto"/>
            <w:noWrap/>
            <w:vAlign w:val="bottom"/>
          </w:tcPr>
          <w:p w14:paraId="187D0DE7" w14:textId="50333289"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(7,999)</w:t>
            </w:r>
          </w:p>
        </w:tc>
        <w:tc>
          <w:tcPr>
            <w:tcW w:w="1984" w:type="dxa"/>
            <w:tcBorders>
              <w:top w:val="nil"/>
              <w:left w:val="nil"/>
              <w:bottom w:val="nil"/>
              <w:right w:val="nil"/>
            </w:tcBorders>
            <w:shd w:val="clear" w:color="auto" w:fill="auto"/>
            <w:noWrap/>
            <w:vAlign w:val="bottom"/>
          </w:tcPr>
          <w:p w14:paraId="108B1410" w14:textId="78B95C1E" w:rsidR="0028128D"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(163)</w:t>
            </w:r>
          </w:p>
        </w:tc>
      </w:tr>
      <w:tr w:rsidR="0028128D" w:rsidRPr="00290B01" w14:paraId="29C6F009" w14:textId="77777777" w:rsidTr="00CD3678">
        <w:trPr>
          <w:trHeight w:val="288"/>
        </w:trPr>
        <w:tc>
          <w:tcPr>
            <w:tcW w:w="3119" w:type="dxa"/>
            <w:tcBorders>
              <w:top w:val="nil"/>
              <w:left w:val="nil"/>
              <w:bottom w:val="nil"/>
              <w:right w:val="nil"/>
            </w:tcBorders>
            <w:shd w:val="clear" w:color="auto" w:fill="auto"/>
            <w:noWrap/>
            <w:vAlign w:val="bottom"/>
          </w:tcPr>
          <w:p w14:paraId="4582A312"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Reinsurance assets</w:t>
            </w:r>
          </w:p>
        </w:tc>
        <w:tc>
          <w:tcPr>
            <w:tcW w:w="1843" w:type="dxa"/>
            <w:tcBorders>
              <w:top w:val="nil"/>
              <w:left w:val="nil"/>
              <w:bottom w:val="nil"/>
              <w:right w:val="nil"/>
            </w:tcBorders>
            <w:shd w:val="clear" w:color="auto" w:fill="auto"/>
            <w:noWrap/>
            <w:vAlign w:val="bottom"/>
          </w:tcPr>
          <w:p w14:paraId="3FB6C1BB" w14:textId="0169AA7A"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22,501</w:t>
            </w:r>
          </w:p>
        </w:tc>
        <w:tc>
          <w:tcPr>
            <w:tcW w:w="1843" w:type="dxa"/>
            <w:tcBorders>
              <w:top w:val="nil"/>
              <w:left w:val="nil"/>
              <w:bottom w:val="nil"/>
              <w:right w:val="nil"/>
            </w:tcBorders>
            <w:shd w:val="clear" w:color="auto" w:fill="auto"/>
            <w:noWrap/>
            <w:vAlign w:val="bottom"/>
          </w:tcPr>
          <w:p w14:paraId="6132F4C1" w14:textId="3D19CDD2"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(13,842)</w:t>
            </w:r>
          </w:p>
        </w:tc>
        <w:tc>
          <w:tcPr>
            <w:tcW w:w="1984" w:type="dxa"/>
            <w:tcBorders>
              <w:top w:val="nil"/>
              <w:left w:val="nil"/>
              <w:bottom w:val="nil"/>
              <w:right w:val="nil"/>
            </w:tcBorders>
            <w:shd w:val="clear" w:color="auto" w:fill="auto"/>
            <w:noWrap/>
            <w:vAlign w:val="bottom"/>
          </w:tcPr>
          <w:p w14:paraId="7AE47770" w14:textId="0EF0EDC9" w:rsidR="0028128D"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8,659</w:t>
            </w:r>
          </w:p>
        </w:tc>
      </w:tr>
      <w:tr w:rsidR="0028128D" w:rsidRPr="00290B01" w14:paraId="55D46B9D" w14:textId="77777777" w:rsidTr="00CD3678">
        <w:trPr>
          <w:trHeight w:val="288"/>
        </w:trPr>
        <w:tc>
          <w:tcPr>
            <w:tcW w:w="3119" w:type="dxa"/>
            <w:tcBorders>
              <w:top w:val="nil"/>
              <w:left w:val="nil"/>
              <w:bottom w:val="nil"/>
              <w:right w:val="nil"/>
            </w:tcBorders>
            <w:shd w:val="clear" w:color="auto" w:fill="auto"/>
            <w:noWrap/>
            <w:vAlign w:val="bottom"/>
          </w:tcPr>
          <w:p w14:paraId="4FF355EC"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Property and equipment</w:t>
            </w:r>
          </w:p>
        </w:tc>
        <w:tc>
          <w:tcPr>
            <w:tcW w:w="1843" w:type="dxa"/>
            <w:tcBorders>
              <w:top w:val="nil"/>
              <w:left w:val="nil"/>
              <w:bottom w:val="nil"/>
              <w:right w:val="nil"/>
            </w:tcBorders>
            <w:shd w:val="clear" w:color="auto" w:fill="auto"/>
            <w:noWrap/>
            <w:vAlign w:val="bottom"/>
          </w:tcPr>
          <w:p w14:paraId="4534119B" w14:textId="15C6E91F"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77,921</w:t>
            </w:r>
          </w:p>
        </w:tc>
        <w:tc>
          <w:tcPr>
            <w:tcW w:w="1843" w:type="dxa"/>
            <w:tcBorders>
              <w:top w:val="nil"/>
              <w:left w:val="nil"/>
              <w:bottom w:val="nil"/>
              <w:right w:val="nil"/>
            </w:tcBorders>
            <w:shd w:val="clear" w:color="auto" w:fill="auto"/>
            <w:noWrap/>
            <w:vAlign w:val="bottom"/>
          </w:tcPr>
          <w:p w14:paraId="79943D19" w14:textId="7206768F"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(2,237)</w:t>
            </w:r>
          </w:p>
        </w:tc>
        <w:tc>
          <w:tcPr>
            <w:tcW w:w="1984" w:type="dxa"/>
            <w:tcBorders>
              <w:top w:val="nil"/>
              <w:left w:val="nil"/>
              <w:bottom w:val="nil"/>
              <w:right w:val="nil"/>
            </w:tcBorders>
            <w:shd w:val="clear" w:color="auto" w:fill="auto"/>
            <w:noWrap/>
            <w:vAlign w:val="bottom"/>
          </w:tcPr>
          <w:p w14:paraId="46F8E776" w14:textId="587B0354" w:rsidR="0028128D"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75,684</w:t>
            </w:r>
          </w:p>
        </w:tc>
      </w:tr>
      <w:tr w:rsidR="0028128D" w:rsidRPr="00290B01" w14:paraId="66E5C5C0" w14:textId="77777777" w:rsidTr="00CD3678">
        <w:trPr>
          <w:trHeight w:val="288"/>
        </w:trPr>
        <w:tc>
          <w:tcPr>
            <w:tcW w:w="3119" w:type="dxa"/>
            <w:tcBorders>
              <w:top w:val="nil"/>
              <w:left w:val="nil"/>
              <w:bottom w:val="nil"/>
              <w:right w:val="nil"/>
            </w:tcBorders>
            <w:shd w:val="clear" w:color="auto" w:fill="auto"/>
            <w:noWrap/>
            <w:vAlign w:val="bottom"/>
          </w:tcPr>
          <w:p w14:paraId="51314664"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Intangible assets</w:t>
            </w:r>
          </w:p>
        </w:tc>
        <w:tc>
          <w:tcPr>
            <w:tcW w:w="1843" w:type="dxa"/>
            <w:tcBorders>
              <w:top w:val="nil"/>
              <w:left w:val="nil"/>
              <w:bottom w:val="nil"/>
              <w:right w:val="nil"/>
            </w:tcBorders>
            <w:shd w:val="clear" w:color="auto" w:fill="auto"/>
            <w:noWrap/>
            <w:vAlign w:val="bottom"/>
          </w:tcPr>
          <w:p w14:paraId="6A665ACB" w14:textId="44BE3F05"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8,831</w:t>
            </w:r>
          </w:p>
        </w:tc>
        <w:tc>
          <w:tcPr>
            <w:tcW w:w="1843" w:type="dxa"/>
            <w:tcBorders>
              <w:top w:val="nil"/>
              <w:left w:val="nil"/>
              <w:bottom w:val="nil"/>
              <w:right w:val="nil"/>
            </w:tcBorders>
            <w:shd w:val="clear" w:color="auto" w:fill="auto"/>
            <w:noWrap/>
            <w:vAlign w:val="bottom"/>
          </w:tcPr>
          <w:p w14:paraId="73B6103C" w14:textId="5B6F9469"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1,505</w:t>
            </w:r>
          </w:p>
        </w:tc>
        <w:tc>
          <w:tcPr>
            <w:tcW w:w="1984" w:type="dxa"/>
            <w:tcBorders>
              <w:top w:val="nil"/>
              <w:left w:val="nil"/>
              <w:bottom w:val="nil"/>
              <w:right w:val="nil"/>
            </w:tcBorders>
            <w:shd w:val="clear" w:color="auto" w:fill="auto"/>
            <w:noWrap/>
            <w:vAlign w:val="bottom"/>
          </w:tcPr>
          <w:p w14:paraId="2A99BC9E" w14:textId="6A315537" w:rsidR="0028128D"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10,336</w:t>
            </w:r>
          </w:p>
        </w:tc>
      </w:tr>
      <w:tr w:rsidR="0028128D" w:rsidRPr="00290B01" w14:paraId="0FD04552" w14:textId="77777777" w:rsidTr="00CD3678">
        <w:trPr>
          <w:trHeight w:val="288"/>
        </w:trPr>
        <w:tc>
          <w:tcPr>
            <w:tcW w:w="3119" w:type="dxa"/>
            <w:tcBorders>
              <w:top w:val="nil"/>
              <w:left w:val="nil"/>
              <w:bottom w:val="nil"/>
              <w:right w:val="nil"/>
            </w:tcBorders>
            <w:shd w:val="clear" w:color="auto" w:fill="auto"/>
            <w:noWrap/>
            <w:vAlign w:val="bottom"/>
          </w:tcPr>
          <w:p w14:paraId="17E0341D"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Investment property</w:t>
            </w:r>
          </w:p>
        </w:tc>
        <w:tc>
          <w:tcPr>
            <w:tcW w:w="1843" w:type="dxa"/>
            <w:tcBorders>
              <w:top w:val="nil"/>
              <w:left w:val="nil"/>
              <w:bottom w:val="nil"/>
              <w:right w:val="nil"/>
            </w:tcBorders>
            <w:shd w:val="clear" w:color="auto" w:fill="auto"/>
            <w:noWrap/>
            <w:vAlign w:val="bottom"/>
          </w:tcPr>
          <w:p w14:paraId="0F3BFC74" w14:textId="06137251"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(71,420)</w:t>
            </w:r>
          </w:p>
        </w:tc>
        <w:tc>
          <w:tcPr>
            <w:tcW w:w="1843" w:type="dxa"/>
            <w:tcBorders>
              <w:top w:val="nil"/>
              <w:left w:val="nil"/>
              <w:bottom w:val="nil"/>
              <w:right w:val="nil"/>
            </w:tcBorders>
            <w:shd w:val="clear" w:color="auto" w:fill="auto"/>
            <w:noWrap/>
            <w:vAlign w:val="bottom"/>
          </w:tcPr>
          <w:p w14:paraId="0B509F4C" w14:textId="33153D75"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w:t>
            </w:r>
          </w:p>
        </w:tc>
        <w:tc>
          <w:tcPr>
            <w:tcW w:w="1984" w:type="dxa"/>
            <w:tcBorders>
              <w:top w:val="nil"/>
              <w:left w:val="nil"/>
              <w:bottom w:val="nil"/>
              <w:right w:val="nil"/>
            </w:tcBorders>
            <w:shd w:val="clear" w:color="auto" w:fill="auto"/>
            <w:noWrap/>
            <w:vAlign w:val="bottom"/>
          </w:tcPr>
          <w:p w14:paraId="2EFBE015" w14:textId="25C93301" w:rsidR="0028128D"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(71,420)</w:t>
            </w:r>
          </w:p>
        </w:tc>
      </w:tr>
      <w:tr w:rsidR="0028128D" w:rsidRPr="00290B01" w14:paraId="183F6DCE" w14:textId="77777777" w:rsidTr="00CD3678">
        <w:trPr>
          <w:trHeight w:val="288"/>
        </w:trPr>
        <w:tc>
          <w:tcPr>
            <w:tcW w:w="3119" w:type="dxa"/>
            <w:tcBorders>
              <w:top w:val="nil"/>
              <w:left w:val="nil"/>
              <w:bottom w:val="nil"/>
              <w:right w:val="nil"/>
            </w:tcBorders>
            <w:shd w:val="clear" w:color="auto" w:fill="auto"/>
            <w:noWrap/>
            <w:vAlign w:val="bottom"/>
          </w:tcPr>
          <w:p w14:paraId="72CBE50E"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Other assets</w:t>
            </w:r>
          </w:p>
        </w:tc>
        <w:tc>
          <w:tcPr>
            <w:tcW w:w="1843" w:type="dxa"/>
            <w:tcBorders>
              <w:top w:val="nil"/>
              <w:left w:val="nil"/>
              <w:bottom w:val="nil"/>
              <w:right w:val="nil"/>
            </w:tcBorders>
            <w:shd w:val="clear" w:color="auto" w:fill="auto"/>
            <w:noWrap/>
            <w:vAlign w:val="bottom"/>
          </w:tcPr>
          <w:p w14:paraId="131F4C17" w14:textId="06207ED0"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5,262</w:t>
            </w:r>
          </w:p>
        </w:tc>
        <w:tc>
          <w:tcPr>
            <w:tcW w:w="1843" w:type="dxa"/>
            <w:tcBorders>
              <w:top w:val="nil"/>
              <w:left w:val="nil"/>
              <w:bottom w:val="nil"/>
              <w:right w:val="nil"/>
            </w:tcBorders>
            <w:shd w:val="clear" w:color="auto" w:fill="auto"/>
            <w:noWrap/>
            <w:vAlign w:val="bottom"/>
          </w:tcPr>
          <w:p w14:paraId="32B6C787" w14:textId="6D8ABE79"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435</w:t>
            </w:r>
          </w:p>
        </w:tc>
        <w:tc>
          <w:tcPr>
            <w:tcW w:w="1984" w:type="dxa"/>
            <w:tcBorders>
              <w:top w:val="nil"/>
              <w:left w:val="nil"/>
              <w:bottom w:val="nil"/>
              <w:right w:val="nil"/>
            </w:tcBorders>
            <w:shd w:val="clear" w:color="auto" w:fill="auto"/>
            <w:noWrap/>
            <w:vAlign w:val="bottom"/>
          </w:tcPr>
          <w:p w14:paraId="29115039" w14:textId="34A035D5" w:rsidR="0028128D" w:rsidRDefault="008B48ED"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5,697</w:t>
            </w:r>
          </w:p>
        </w:tc>
      </w:tr>
      <w:tr w:rsidR="0028128D" w:rsidRPr="00290B01" w14:paraId="38E62509" w14:textId="77777777" w:rsidTr="00CD3678">
        <w:trPr>
          <w:trHeight w:val="288"/>
        </w:trPr>
        <w:tc>
          <w:tcPr>
            <w:tcW w:w="3119" w:type="dxa"/>
            <w:tcBorders>
              <w:top w:val="nil"/>
              <w:left w:val="nil"/>
              <w:bottom w:val="nil"/>
              <w:right w:val="nil"/>
            </w:tcBorders>
            <w:shd w:val="clear" w:color="auto" w:fill="auto"/>
            <w:noWrap/>
            <w:vAlign w:val="bottom"/>
          </w:tcPr>
          <w:p w14:paraId="54643C2B" w14:textId="77777777" w:rsidR="0028128D"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Provision for claims</w:t>
            </w:r>
          </w:p>
        </w:tc>
        <w:tc>
          <w:tcPr>
            <w:tcW w:w="1843" w:type="dxa"/>
            <w:tcBorders>
              <w:top w:val="nil"/>
              <w:left w:val="nil"/>
              <w:bottom w:val="nil"/>
              <w:right w:val="nil"/>
            </w:tcBorders>
            <w:shd w:val="clear" w:color="auto" w:fill="auto"/>
            <w:noWrap/>
            <w:vAlign w:val="bottom"/>
          </w:tcPr>
          <w:p w14:paraId="246530A3" w14:textId="62DE0A91"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(70,515)</w:t>
            </w:r>
          </w:p>
        </w:tc>
        <w:tc>
          <w:tcPr>
            <w:tcW w:w="1843" w:type="dxa"/>
            <w:tcBorders>
              <w:top w:val="nil"/>
              <w:left w:val="nil"/>
              <w:bottom w:val="nil"/>
              <w:right w:val="nil"/>
            </w:tcBorders>
            <w:shd w:val="clear" w:color="auto" w:fill="auto"/>
            <w:noWrap/>
            <w:vAlign w:val="bottom"/>
          </w:tcPr>
          <w:p w14:paraId="5907B016" w14:textId="3B40006A" w:rsidR="0028128D" w:rsidRPr="00290B01" w:rsidRDefault="00E2513E" w:rsidP="0028128D">
            <w:pPr>
              <w:jc w:val="right"/>
              <w:rPr>
                <w:rFonts w:eastAsia="Times New Roman" w:cs="Times New Roman"/>
                <w:sz w:val="18"/>
                <w:szCs w:val="18"/>
                <w:lang w:eastAsia="en-GB"/>
              </w:rPr>
            </w:pPr>
            <w:r>
              <w:rPr>
                <w:rFonts w:eastAsia="Times New Roman" w:cs="Times New Roman"/>
                <w:sz w:val="18"/>
                <w:szCs w:val="18"/>
                <w:lang w:eastAsia="en-GB"/>
              </w:rPr>
              <w:t>(20,713)</w:t>
            </w:r>
          </w:p>
        </w:tc>
        <w:tc>
          <w:tcPr>
            <w:tcW w:w="1984" w:type="dxa"/>
            <w:tcBorders>
              <w:top w:val="nil"/>
              <w:left w:val="nil"/>
              <w:bottom w:val="nil"/>
              <w:right w:val="nil"/>
            </w:tcBorders>
            <w:shd w:val="clear" w:color="auto" w:fill="auto"/>
            <w:noWrap/>
            <w:vAlign w:val="bottom"/>
          </w:tcPr>
          <w:p w14:paraId="16FB11CA" w14:textId="29E9E958" w:rsidR="0028128D" w:rsidRDefault="00E2513E"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w:t>
            </w:r>
            <w:r w:rsidR="008B48ED">
              <w:rPr>
                <w:rFonts w:eastAsia="Times New Roman" w:cs="Times New Roman"/>
                <w:color w:val="000000"/>
                <w:sz w:val="18"/>
                <w:szCs w:val="18"/>
                <w:lang w:val="en-US" w:eastAsia="en-GB"/>
              </w:rPr>
              <w:t>91,228</w:t>
            </w:r>
            <w:r>
              <w:rPr>
                <w:rFonts w:eastAsia="Times New Roman" w:cs="Times New Roman"/>
                <w:color w:val="000000"/>
                <w:sz w:val="18"/>
                <w:szCs w:val="18"/>
                <w:lang w:val="en-US" w:eastAsia="en-GB"/>
              </w:rPr>
              <w:t>)</w:t>
            </w:r>
          </w:p>
        </w:tc>
      </w:tr>
      <w:tr w:rsidR="0028128D" w:rsidRPr="00290B01" w14:paraId="65EA857C" w14:textId="77777777" w:rsidTr="00CD3678">
        <w:trPr>
          <w:trHeight w:val="288"/>
        </w:trPr>
        <w:tc>
          <w:tcPr>
            <w:tcW w:w="3119" w:type="dxa"/>
            <w:tcBorders>
              <w:top w:val="nil"/>
              <w:left w:val="nil"/>
              <w:bottom w:val="nil"/>
              <w:right w:val="nil"/>
            </w:tcBorders>
            <w:shd w:val="clear" w:color="auto" w:fill="auto"/>
            <w:noWrap/>
            <w:vAlign w:val="bottom"/>
          </w:tcPr>
          <w:p w14:paraId="70279C04" w14:textId="77777777" w:rsidR="0028128D" w:rsidRPr="00E209F8" w:rsidRDefault="0028128D" w:rsidP="00CD3678">
            <w:pPr>
              <w:rPr>
                <w:rFonts w:eastAsia="Times New Roman" w:cs="Times New Roman"/>
                <w:color w:val="000000"/>
                <w:sz w:val="18"/>
                <w:szCs w:val="18"/>
                <w:lang w:eastAsia="en-GB"/>
              </w:rPr>
            </w:pPr>
            <w:r>
              <w:rPr>
                <w:rFonts w:eastAsia="Times New Roman" w:cs="Times New Roman"/>
                <w:color w:val="000000"/>
                <w:sz w:val="18"/>
                <w:szCs w:val="18"/>
                <w:lang w:eastAsia="en-GB"/>
              </w:rPr>
              <w:t>Other liabilities</w:t>
            </w:r>
          </w:p>
        </w:tc>
        <w:tc>
          <w:tcPr>
            <w:tcW w:w="1843" w:type="dxa"/>
            <w:tcBorders>
              <w:top w:val="nil"/>
              <w:left w:val="nil"/>
              <w:bottom w:val="nil"/>
              <w:right w:val="nil"/>
            </w:tcBorders>
            <w:shd w:val="clear" w:color="auto" w:fill="auto"/>
            <w:noWrap/>
            <w:vAlign w:val="bottom"/>
          </w:tcPr>
          <w:p w14:paraId="3A9925D0" w14:textId="2D57F58C" w:rsidR="0028128D" w:rsidRPr="00290B01" w:rsidRDefault="00E2513E" w:rsidP="0028128D">
            <w:pPr>
              <w:jc w:val="right"/>
              <w:rPr>
                <w:rFonts w:eastAsia="Times New Roman" w:cs="Times New Roman"/>
                <w:color w:val="000000"/>
                <w:sz w:val="18"/>
                <w:szCs w:val="18"/>
                <w:lang w:eastAsia="en-GB"/>
              </w:rPr>
            </w:pPr>
            <w:r>
              <w:rPr>
                <w:rFonts w:eastAsia="Times New Roman" w:cs="Times New Roman"/>
                <w:color w:val="000000"/>
                <w:sz w:val="18"/>
                <w:szCs w:val="18"/>
                <w:lang w:eastAsia="en-GB"/>
              </w:rPr>
              <w:t>4,250</w:t>
            </w:r>
          </w:p>
        </w:tc>
        <w:tc>
          <w:tcPr>
            <w:tcW w:w="1843" w:type="dxa"/>
            <w:tcBorders>
              <w:top w:val="nil"/>
              <w:left w:val="nil"/>
              <w:bottom w:val="nil"/>
              <w:right w:val="nil"/>
            </w:tcBorders>
            <w:shd w:val="clear" w:color="auto" w:fill="auto"/>
            <w:noWrap/>
            <w:vAlign w:val="bottom"/>
          </w:tcPr>
          <w:p w14:paraId="204C66D2" w14:textId="2421061D" w:rsidR="0028128D" w:rsidRPr="006304E8" w:rsidRDefault="00E2513E" w:rsidP="0028128D">
            <w:pPr>
              <w:jc w:val="right"/>
              <w:rPr>
                <w:rFonts w:eastAsia="Times New Roman" w:cs="Times New Roman"/>
                <w:sz w:val="18"/>
                <w:szCs w:val="18"/>
                <w:lang w:eastAsia="en-GB"/>
              </w:rPr>
            </w:pPr>
            <w:r>
              <w:rPr>
                <w:rFonts w:eastAsia="Times New Roman" w:cs="Times New Roman"/>
                <w:sz w:val="18"/>
                <w:szCs w:val="18"/>
                <w:lang w:eastAsia="en-GB"/>
              </w:rPr>
              <w:t>3,549</w:t>
            </w:r>
          </w:p>
        </w:tc>
        <w:tc>
          <w:tcPr>
            <w:tcW w:w="1984" w:type="dxa"/>
            <w:tcBorders>
              <w:top w:val="nil"/>
              <w:left w:val="nil"/>
              <w:bottom w:val="nil"/>
              <w:right w:val="nil"/>
            </w:tcBorders>
            <w:shd w:val="clear" w:color="auto" w:fill="auto"/>
            <w:noWrap/>
            <w:vAlign w:val="bottom"/>
          </w:tcPr>
          <w:p w14:paraId="2E1139FE" w14:textId="0B914911" w:rsidR="0028128D" w:rsidRPr="006304E8" w:rsidRDefault="008B48ED" w:rsidP="0028128D">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7,799</w:t>
            </w:r>
          </w:p>
        </w:tc>
      </w:tr>
      <w:tr w:rsidR="0028128D" w:rsidRPr="00290B01" w14:paraId="3CC996BE" w14:textId="77777777" w:rsidTr="00CD3678">
        <w:trPr>
          <w:trHeight w:val="300"/>
        </w:trPr>
        <w:tc>
          <w:tcPr>
            <w:tcW w:w="3119" w:type="dxa"/>
            <w:tcBorders>
              <w:top w:val="single" w:sz="8" w:space="0" w:color="auto"/>
              <w:left w:val="nil"/>
              <w:bottom w:val="double" w:sz="6" w:space="0" w:color="auto"/>
              <w:right w:val="nil"/>
            </w:tcBorders>
            <w:shd w:val="clear" w:color="auto" w:fill="auto"/>
            <w:noWrap/>
            <w:vAlign w:val="bottom"/>
            <w:hideMark/>
          </w:tcPr>
          <w:p w14:paraId="710FD96F" w14:textId="77777777" w:rsidR="0028128D" w:rsidRPr="00290B01" w:rsidRDefault="0028128D"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Net tax assets</w:t>
            </w:r>
          </w:p>
        </w:tc>
        <w:tc>
          <w:tcPr>
            <w:tcW w:w="1843" w:type="dxa"/>
            <w:tcBorders>
              <w:top w:val="single" w:sz="8" w:space="0" w:color="auto"/>
              <w:left w:val="nil"/>
              <w:bottom w:val="double" w:sz="6" w:space="0" w:color="auto"/>
              <w:right w:val="nil"/>
            </w:tcBorders>
            <w:shd w:val="clear" w:color="auto" w:fill="auto"/>
            <w:noWrap/>
            <w:vAlign w:val="bottom"/>
            <w:hideMark/>
          </w:tcPr>
          <w:p w14:paraId="08156D0A" w14:textId="5DD755E4" w:rsidR="0028128D" w:rsidRPr="00290B01" w:rsidRDefault="00E2513E" w:rsidP="0028128D">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84,057</w:t>
            </w:r>
            <w:r w:rsidR="0028128D" w:rsidRPr="00290B01">
              <w:rPr>
                <w:rFonts w:eastAsia="Times New Roman" w:cs="Times New Roman"/>
                <w:b/>
                <w:bCs/>
                <w:color w:val="000000"/>
                <w:sz w:val="18"/>
                <w:szCs w:val="18"/>
                <w:lang w:eastAsia="en-GB"/>
              </w:rPr>
              <w:t> </w:t>
            </w:r>
          </w:p>
        </w:tc>
        <w:tc>
          <w:tcPr>
            <w:tcW w:w="1843" w:type="dxa"/>
            <w:tcBorders>
              <w:top w:val="single" w:sz="8" w:space="0" w:color="auto"/>
              <w:left w:val="nil"/>
              <w:bottom w:val="double" w:sz="6" w:space="0" w:color="auto"/>
              <w:right w:val="nil"/>
            </w:tcBorders>
            <w:shd w:val="clear" w:color="auto" w:fill="auto"/>
            <w:noWrap/>
            <w:vAlign w:val="bottom"/>
          </w:tcPr>
          <w:p w14:paraId="3904D9E5" w14:textId="0BD78F0A" w:rsidR="0028128D" w:rsidRPr="00290B01" w:rsidRDefault="00E2513E" w:rsidP="0028128D">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w:t>
            </w:r>
            <w:r w:rsidR="008B48ED">
              <w:rPr>
                <w:rFonts w:eastAsia="Times New Roman" w:cs="Times New Roman"/>
                <w:b/>
                <w:bCs/>
                <w:color w:val="000000"/>
                <w:sz w:val="18"/>
                <w:szCs w:val="18"/>
                <w:lang w:eastAsia="en-GB"/>
              </w:rPr>
              <w:t>22,763</w:t>
            </w:r>
            <w:r>
              <w:rPr>
                <w:rFonts w:eastAsia="Times New Roman" w:cs="Times New Roman"/>
                <w:b/>
                <w:bCs/>
                <w:color w:val="000000"/>
                <w:sz w:val="18"/>
                <w:szCs w:val="18"/>
                <w:lang w:eastAsia="en-GB"/>
              </w:rPr>
              <w:t>)</w:t>
            </w:r>
          </w:p>
        </w:tc>
        <w:tc>
          <w:tcPr>
            <w:tcW w:w="1984" w:type="dxa"/>
            <w:tcBorders>
              <w:top w:val="single" w:sz="8" w:space="0" w:color="auto"/>
              <w:left w:val="nil"/>
              <w:bottom w:val="double" w:sz="6" w:space="0" w:color="auto"/>
              <w:right w:val="nil"/>
            </w:tcBorders>
            <w:shd w:val="clear" w:color="auto" w:fill="auto"/>
            <w:noWrap/>
            <w:vAlign w:val="bottom"/>
          </w:tcPr>
          <w:p w14:paraId="0A28080D" w14:textId="576BBBE2" w:rsidR="0028128D" w:rsidRPr="00290B01" w:rsidRDefault="008B48ED" w:rsidP="0028128D">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25,798</w:t>
            </w:r>
          </w:p>
        </w:tc>
      </w:tr>
    </w:tbl>
    <w:p w14:paraId="566493EF" w14:textId="31329A71" w:rsidR="008B48ED" w:rsidRDefault="008B48ED" w:rsidP="008B48ED">
      <w:pPr>
        <w:spacing w:before="120" w:after="120"/>
        <w:jc w:val="both"/>
        <w:rPr>
          <w:sz w:val="18"/>
          <w:szCs w:val="18"/>
        </w:rPr>
      </w:pPr>
      <w:r w:rsidRPr="00EC690A">
        <w:rPr>
          <w:sz w:val="18"/>
          <w:szCs w:val="18"/>
        </w:rPr>
        <w:t xml:space="preserve">Azerbaijani tax legislation </w:t>
      </w:r>
      <w:proofErr w:type="gramStart"/>
      <w:r w:rsidRPr="00EC690A">
        <w:rPr>
          <w:sz w:val="18"/>
          <w:szCs w:val="18"/>
        </w:rPr>
        <w:t>in particular may</w:t>
      </w:r>
      <w:proofErr w:type="gramEnd"/>
      <w:r w:rsidRPr="00EC690A">
        <w:rPr>
          <w:sz w:val="18"/>
          <w:szCs w:val="18"/>
        </w:rPr>
        <w:t xml:space="preserve"> give rise to varying interpretations and amendments. As the management’s interpretation of tax legislation may differ from that of the tax authorities, transactions may be challenged by the tax authorities, and as the result, the Company may be assessed additional taxes, penalties and interest which could be material for these financial statements.</w:t>
      </w:r>
    </w:p>
    <w:p w14:paraId="7D5BAA1A" w14:textId="4099AB78" w:rsidR="008B48ED" w:rsidRDefault="008B48ED" w:rsidP="008B48ED">
      <w:pPr>
        <w:spacing w:before="120" w:after="120"/>
        <w:jc w:val="both"/>
        <w:rPr>
          <w:sz w:val="18"/>
          <w:szCs w:val="18"/>
        </w:rPr>
      </w:pPr>
    </w:p>
    <w:p w14:paraId="43AD693B" w14:textId="7B2224A6" w:rsidR="00FC0F36" w:rsidRDefault="00FC0F36" w:rsidP="00065112">
      <w:pPr>
        <w:pStyle w:val="ListParagraph"/>
        <w:numPr>
          <w:ilvl w:val="0"/>
          <w:numId w:val="1"/>
        </w:numPr>
        <w:spacing w:before="240" w:after="120"/>
        <w:ind w:left="357" w:hanging="357"/>
        <w:contextualSpacing w:val="0"/>
        <w:outlineLvl w:val="0"/>
        <w:rPr>
          <w:b/>
          <w:bCs/>
          <w:sz w:val="18"/>
          <w:szCs w:val="18"/>
          <w:lang w:val="en-US"/>
        </w:rPr>
      </w:pPr>
      <w:bookmarkStart w:id="57" w:name="_Toc57894901"/>
      <w:r>
        <w:rPr>
          <w:b/>
          <w:bCs/>
          <w:sz w:val="18"/>
          <w:szCs w:val="18"/>
          <w:lang w:val="en-US"/>
        </w:rPr>
        <w:t>Other assets</w:t>
      </w:r>
      <w:bookmarkEnd w:id="57"/>
    </w:p>
    <w:tbl>
      <w:tblPr>
        <w:tblW w:w="8789" w:type="dxa"/>
        <w:tblLook w:val="04A0" w:firstRow="1" w:lastRow="0" w:firstColumn="1" w:lastColumn="0" w:noHBand="0" w:noVBand="1"/>
      </w:tblPr>
      <w:tblGrid>
        <w:gridCol w:w="5245"/>
        <w:gridCol w:w="709"/>
        <w:gridCol w:w="1275"/>
        <w:gridCol w:w="1560"/>
      </w:tblGrid>
      <w:tr w:rsidR="00FC0F36" w:rsidRPr="00290B01" w14:paraId="1DD6DDB8" w14:textId="77777777" w:rsidTr="00C41301">
        <w:trPr>
          <w:trHeight w:val="305"/>
        </w:trPr>
        <w:tc>
          <w:tcPr>
            <w:tcW w:w="5245" w:type="dxa"/>
            <w:tcBorders>
              <w:top w:val="nil"/>
              <w:left w:val="nil"/>
              <w:bottom w:val="single" w:sz="8" w:space="0" w:color="auto"/>
              <w:right w:val="nil"/>
            </w:tcBorders>
            <w:shd w:val="clear" w:color="auto" w:fill="auto"/>
            <w:noWrap/>
            <w:vAlign w:val="center"/>
            <w:hideMark/>
          </w:tcPr>
          <w:p w14:paraId="09B8ED09" w14:textId="77777777" w:rsidR="00FC0F36" w:rsidRPr="00290B01" w:rsidRDefault="00FC0F36" w:rsidP="00C41301">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166A2AB2" w14:textId="77777777" w:rsidR="00FC0F36" w:rsidRPr="00290B01" w:rsidRDefault="00FC0F36" w:rsidP="00C41301">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01F49987" w14:textId="39FA302E" w:rsidR="00FC0F36" w:rsidRPr="00290B01" w:rsidRDefault="00703807" w:rsidP="00C41301">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31.12.</w:t>
            </w:r>
            <w:r w:rsidR="00FC0F36" w:rsidRPr="00290B01">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1FB27FA0" w14:textId="6D40DA8A" w:rsidR="00FC0F36" w:rsidRPr="00290B01" w:rsidRDefault="00703807" w:rsidP="00C41301">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31.12.</w:t>
            </w:r>
            <w:r w:rsidR="00FC0F36" w:rsidRPr="00290B01">
              <w:rPr>
                <w:rFonts w:eastAsia="Times New Roman" w:cs="Times New Roman"/>
                <w:b/>
                <w:bCs/>
                <w:color w:val="000000"/>
                <w:sz w:val="18"/>
                <w:szCs w:val="18"/>
                <w:lang w:eastAsia="en-GB"/>
              </w:rPr>
              <w:t>2018</w:t>
            </w:r>
          </w:p>
        </w:tc>
      </w:tr>
      <w:tr w:rsidR="00FC0F36" w:rsidRPr="00290B01" w14:paraId="11E22E7D" w14:textId="77777777" w:rsidTr="00C41301">
        <w:trPr>
          <w:trHeight w:val="288"/>
        </w:trPr>
        <w:tc>
          <w:tcPr>
            <w:tcW w:w="5245" w:type="dxa"/>
            <w:tcBorders>
              <w:top w:val="nil"/>
              <w:left w:val="nil"/>
              <w:bottom w:val="nil"/>
              <w:right w:val="nil"/>
            </w:tcBorders>
            <w:shd w:val="clear" w:color="auto" w:fill="auto"/>
            <w:noWrap/>
            <w:vAlign w:val="bottom"/>
          </w:tcPr>
          <w:p w14:paraId="570495FD" w14:textId="11E81D19" w:rsidR="00FC0F36" w:rsidRDefault="00FC0F36" w:rsidP="00C41301">
            <w:pPr>
              <w:rPr>
                <w:rFonts w:eastAsia="Times New Roman" w:cs="Times New Roman"/>
                <w:color w:val="000000"/>
                <w:sz w:val="18"/>
                <w:szCs w:val="18"/>
                <w:lang w:eastAsia="en-GB"/>
              </w:rPr>
            </w:pPr>
            <w:r>
              <w:rPr>
                <w:rFonts w:eastAsia="Times New Roman" w:cs="Times New Roman"/>
                <w:color w:val="000000"/>
                <w:sz w:val="18"/>
                <w:szCs w:val="18"/>
                <w:lang w:eastAsia="en-GB"/>
              </w:rPr>
              <w:t xml:space="preserve">Advances paid </w:t>
            </w:r>
          </w:p>
        </w:tc>
        <w:tc>
          <w:tcPr>
            <w:tcW w:w="709" w:type="dxa"/>
            <w:tcBorders>
              <w:top w:val="nil"/>
              <w:left w:val="nil"/>
              <w:bottom w:val="nil"/>
              <w:right w:val="nil"/>
            </w:tcBorders>
            <w:shd w:val="clear" w:color="auto" w:fill="auto"/>
            <w:noWrap/>
            <w:vAlign w:val="bottom"/>
          </w:tcPr>
          <w:p w14:paraId="65FAE2F3" w14:textId="77777777" w:rsidR="00FC0F36" w:rsidRPr="00290B01" w:rsidRDefault="00FC0F36" w:rsidP="00C413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64E16E86" w14:textId="1B1F67D3" w:rsidR="00FC0F36" w:rsidRPr="006304E8" w:rsidRDefault="009362D0" w:rsidP="00C41301">
            <w:pPr>
              <w:jc w:val="right"/>
              <w:rPr>
                <w:rFonts w:eastAsia="Times New Roman" w:cs="Times New Roman"/>
                <w:sz w:val="18"/>
                <w:szCs w:val="18"/>
                <w:lang w:eastAsia="en-GB"/>
              </w:rPr>
            </w:pPr>
            <w:r>
              <w:rPr>
                <w:rFonts w:eastAsia="Times New Roman" w:cs="Times New Roman"/>
                <w:sz w:val="18"/>
                <w:szCs w:val="18"/>
                <w:lang w:eastAsia="en-GB"/>
              </w:rPr>
              <w:t>107,781</w:t>
            </w:r>
          </w:p>
        </w:tc>
        <w:tc>
          <w:tcPr>
            <w:tcW w:w="1560" w:type="dxa"/>
            <w:tcBorders>
              <w:top w:val="nil"/>
              <w:left w:val="nil"/>
              <w:bottom w:val="nil"/>
              <w:right w:val="nil"/>
            </w:tcBorders>
            <w:shd w:val="clear" w:color="auto" w:fill="auto"/>
            <w:noWrap/>
            <w:vAlign w:val="bottom"/>
          </w:tcPr>
          <w:p w14:paraId="3759FA40" w14:textId="5A2F4021" w:rsidR="00FC0F36" w:rsidRDefault="009362D0" w:rsidP="00C41301">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8,279</w:t>
            </w:r>
          </w:p>
        </w:tc>
      </w:tr>
      <w:tr w:rsidR="00FC0F36" w:rsidRPr="00290B01" w14:paraId="3FE3F5E6" w14:textId="77777777" w:rsidTr="00C41301">
        <w:trPr>
          <w:trHeight w:val="288"/>
        </w:trPr>
        <w:tc>
          <w:tcPr>
            <w:tcW w:w="5245" w:type="dxa"/>
            <w:tcBorders>
              <w:top w:val="nil"/>
              <w:left w:val="nil"/>
              <w:bottom w:val="nil"/>
              <w:right w:val="nil"/>
            </w:tcBorders>
            <w:shd w:val="clear" w:color="auto" w:fill="auto"/>
            <w:noWrap/>
            <w:vAlign w:val="bottom"/>
          </w:tcPr>
          <w:p w14:paraId="2D1E1E98" w14:textId="2D69D4B2" w:rsidR="00FC0F36" w:rsidRPr="00E209F8" w:rsidRDefault="00FC0F36" w:rsidP="00C41301">
            <w:pPr>
              <w:rPr>
                <w:rFonts w:eastAsia="Times New Roman" w:cs="Times New Roman"/>
                <w:color w:val="000000"/>
                <w:sz w:val="18"/>
                <w:szCs w:val="18"/>
                <w:lang w:eastAsia="en-GB"/>
              </w:rPr>
            </w:pPr>
            <w:r>
              <w:rPr>
                <w:rFonts w:eastAsia="Times New Roman" w:cs="Times New Roman"/>
                <w:color w:val="000000"/>
                <w:sz w:val="18"/>
                <w:szCs w:val="18"/>
                <w:lang w:eastAsia="en-GB"/>
              </w:rPr>
              <w:t>Social payments</w:t>
            </w:r>
          </w:p>
        </w:tc>
        <w:tc>
          <w:tcPr>
            <w:tcW w:w="709" w:type="dxa"/>
            <w:tcBorders>
              <w:top w:val="nil"/>
              <w:left w:val="nil"/>
              <w:bottom w:val="nil"/>
              <w:right w:val="nil"/>
            </w:tcBorders>
            <w:shd w:val="clear" w:color="auto" w:fill="auto"/>
            <w:noWrap/>
            <w:vAlign w:val="bottom"/>
          </w:tcPr>
          <w:p w14:paraId="778874FF" w14:textId="77777777" w:rsidR="00FC0F36" w:rsidRPr="00290B01" w:rsidRDefault="00FC0F36" w:rsidP="00C413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48FD5B4A" w14:textId="4761FFBB" w:rsidR="00FC0F36" w:rsidRDefault="00FC0F36" w:rsidP="00C41301">
            <w:pPr>
              <w:jc w:val="right"/>
              <w:rPr>
                <w:rFonts w:eastAsia="Times New Roman" w:cs="Times New Roman"/>
                <w:sz w:val="18"/>
                <w:szCs w:val="18"/>
                <w:lang w:eastAsia="en-GB"/>
              </w:rPr>
            </w:pPr>
            <w:r>
              <w:rPr>
                <w:rFonts w:eastAsia="Times New Roman" w:cs="Times New Roman"/>
                <w:sz w:val="18"/>
                <w:szCs w:val="18"/>
                <w:lang w:eastAsia="en-GB"/>
              </w:rPr>
              <w:t>5,850</w:t>
            </w:r>
          </w:p>
        </w:tc>
        <w:tc>
          <w:tcPr>
            <w:tcW w:w="1560" w:type="dxa"/>
            <w:tcBorders>
              <w:top w:val="nil"/>
              <w:left w:val="nil"/>
              <w:bottom w:val="nil"/>
              <w:right w:val="nil"/>
            </w:tcBorders>
            <w:shd w:val="clear" w:color="auto" w:fill="auto"/>
            <w:noWrap/>
            <w:vAlign w:val="bottom"/>
          </w:tcPr>
          <w:p w14:paraId="3AA3FB14" w14:textId="50D31021" w:rsidR="00FC0F36" w:rsidRDefault="00FC0F36" w:rsidP="00C41301">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1,162</w:t>
            </w:r>
          </w:p>
        </w:tc>
      </w:tr>
      <w:tr w:rsidR="00FC0F36" w:rsidRPr="00290B01" w14:paraId="59D2E8E6" w14:textId="77777777" w:rsidTr="00C41301">
        <w:trPr>
          <w:trHeight w:val="288"/>
        </w:trPr>
        <w:tc>
          <w:tcPr>
            <w:tcW w:w="5245" w:type="dxa"/>
            <w:tcBorders>
              <w:top w:val="nil"/>
              <w:left w:val="nil"/>
              <w:bottom w:val="nil"/>
              <w:right w:val="nil"/>
            </w:tcBorders>
            <w:shd w:val="clear" w:color="auto" w:fill="auto"/>
            <w:noWrap/>
            <w:vAlign w:val="bottom"/>
          </w:tcPr>
          <w:p w14:paraId="38369856" w14:textId="567FFA5C" w:rsidR="00FC0F36" w:rsidRDefault="00FC0F36" w:rsidP="00C41301">
            <w:pPr>
              <w:rPr>
                <w:rFonts w:eastAsia="Times New Roman" w:cs="Times New Roman"/>
                <w:color w:val="000000"/>
                <w:sz w:val="18"/>
                <w:szCs w:val="18"/>
                <w:lang w:eastAsia="en-GB"/>
              </w:rPr>
            </w:pPr>
            <w:r>
              <w:rPr>
                <w:rFonts w:eastAsia="Times New Roman" w:cs="Times New Roman"/>
                <w:color w:val="000000"/>
                <w:sz w:val="18"/>
                <w:szCs w:val="18"/>
                <w:lang w:val="en-US" w:eastAsia="en-GB"/>
              </w:rPr>
              <w:t>Prepayments on claims</w:t>
            </w:r>
          </w:p>
        </w:tc>
        <w:tc>
          <w:tcPr>
            <w:tcW w:w="709" w:type="dxa"/>
            <w:tcBorders>
              <w:top w:val="nil"/>
              <w:left w:val="nil"/>
              <w:bottom w:val="nil"/>
              <w:right w:val="nil"/>
            </w:tcBorders>
            <w:shd w:val="clear" w:color="auto" w:fill="auto"/>
            <w:noWrap/>
            <w:vAlign w:val="bottom"/>
          </w:tcPr>
          <w:p w14:paraId="217EE1D4" w14:textId="77777777" w:rsidR="00FC0F36" w:rsidRPr="00290B01" w:rsidRDefault="00FC0F36" w:rsidP="00C413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1BAA398A" w14:textId="4459252D" w:rsidR="00FC0F36" w:rsidRDefault="00FC0F36" w:rsidP="00C41301">
            <w:pPr>
              <w:jc w:val="right"/>
              <w:rPr>
                <w:rFonts w:eastAsia="Times New Roman" w:cs="Times New Roman"/>
                <w:sz w:val="18"/>
                <w:szCs w:val="18"/>
                <w:lang w:eastAsia="en-GB"/>
              </w:rPr>
            </w:pPr>
            <w:r>
              <w:rPr>
                <w:rFonts w:eastAsia="Times New Roman" w:cs="Times New Roman"/>
                <w:sz w:val="18"/>
                <w:szCs w:val="18"/>
                <w:lang w:eastAsia="en-GB"/>
              </w:rPr>
              <w:t>2,926</w:t>
            </w:r>
          </w:p>
        </w:tc>
        <w:tc>
          <w:tcPr>
            <w:tcW w:w="1560" w:type="dxa"/>
            <w:tcBorders>
              <w:top w:val="nil"/>
              <w:left w:val="nil"/>
              <w:bottom w:val="nil"/>
              <w:right w:val="nil"/>
            </w:tcBorders>
            <w:shd w:val="clear" w:color="auto" w:fill="auto"/>
            <w:noWrap/>
            <w:vAlign w:val="bottom"/>
          </w:tcPr>
          <w:p w14:paraId="6C6E2D76" w14:textId="47D2594A" w:rsidR="00FC0F36" w:rsidRPr="006304E8" w:rsidRDefault="00FC0F36" w:rsidP="00C41301">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5,940</w:t>
            </w:r>
          </w:p>
        </w:tc>
      </w:tr>
      <w:tr w:rsidR="00FC0F36" w:rsidRPr="00290B01" w14:paraId="6C26C27E" w14:textId="77777777" w:rsidTr="00C41301">
        <w:trPr>
          <w:trHeight w:val="288"/>
        </w:trPr>
        <w:tc>
          <w:tcPr>
            <w:tcW w:w="5245" w:type="dxa"/>
            <w:tcBorders>
              <w:top w:val="nil"/>
              <w:left w:val="nil"/>
              <w:bottom w:val="nil"/>
              <w:right w:val="nil"/>
            </w:tcBorders>
            <w:shd w:val="clear" w:color="auto" w:fill="auto"/>
            <w:noWrap/>
            <w:vAlign w:val="bottom"/>
          </w:tcPr>
          <w:p w14:paraId="15025D5A" w14:textId="789C1217" w:rsidR="00FC0F36" w:rsidRPr="00E209F8" w:rsidRDefault="00FC0F36" w:rsidP="00C41301">
            <w:pPr>
              <w:rPr>
                <w:rFonts w:eastAsia="Times New Roman" w:cs="Times New Roman"/>
                <w:color w:val="000000"/>
                <w:sz w:val="18"/>
                <w:szCs w:val="18"/>
                <w:lang w:eastAsia="en-GB"/>
              </w:rPr>
            </w:pPr>
            <w:r>
              <w:rPr>
                <w:rFonts w:eastAsia="Times New Roman" w:cs="Times New Roman"/>
                <w:color w:val="000000"/>
                <w:sz w:val="18"/>
                <w:szCs w:val="18"/>
                <w:lang w:eastAsia="en-GB"/>
              </w:rPr>
              <w:t xml:space="preserve">Other </w:t>
            </w:r>
          </w:p>
        </w:tc>
        <w:tc>
          <w:tcPr>
            <w:tcW w:w="709" w:type="dxa"/>
            <w:tcBorders>
              <w:top w:val="nil"/>
              <w:left w:val="nil"/>
              <w:bottom w:val="nil"/>
              <w:right w:val="nil"/>
            </w:tcBorders>
            <w:shd w:val="clear" w:color="auto" w:fill="auto"/>
            <w:noWrap/>
            <w:vAlign w:val="bottom"/>
          </w:tcPr>
          <w:p w14:paraId="16C4084F" w14:textId="77777777" w:rsidR="00FC0F36" w:rsidRPr="00290B01" w:rsidRDefault="00FC0F36" w:rsidP="00C41301">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797F8487" w14:textId="15B5169C" w:rsidR="00FC0F36" w:rsidRPr="006304E8" w:rsidRDefault="009362D0" w:rsidP="00C41301">
            <w:pPr>
              <w:jc w:val="right"/>
              <w:rPr>
                <w:rFonts w:eastAsia="Times New Roman" w:cs="Times New Roman"/>
                <w:sz w:val="18"/>
                <w:szCs w:val="18"/>
                <w:lang w:eastAsia="en-GB"/>
              </w:rPr>
            </w:pPr>
            <w:r>
              <w:rPr>
                <w:rFonts w:eastAsia="Times New Roman" w:cs="Times New Roman"/>
                <w:sz w:val="18"/>
                <w:szCs w:val="18"/>
                <w:lang w:eastAsia="en-GB"/>
              </w:rPr>
              <w:t>5,899</w:t>
            </w:r>
          </w:p>
        </w:tc>
        <w:tc>
          <w:tcPr>
            <w:tcW w:w="1560" w:type="dxa"/>
            <w:tcBorders>
              <w:top w:val="nil"/>
              <w:left w:val="nil"/>
              <w:bottom w:val="nil"/>
              <w:right w:val="nil"/>
            </w:tcBorders>
            <w:shd w:val="clear" w:color="auto" w:fill="auto"/>
            <w:noWrap/>
            <w:vAlign w:val="bottom"/>
          </w:tcPr>
          <w:p w14:paraId="2C0C3A56" w14:textId="7A1B0F22" w:rsidR="00FC0F36" w:rsidRPr="006304E8" w:rsidRDefault="009362D0" w:rsidP="00C41301">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1,853</w:t>
            </w:r>
          </w:p>
        </w:tc>
      </w:tr>
      <w:tr w:rsidR="00FC0F36" w:rsidRPr="00290B01" w14:paraId="16258F50" w14:textId="77777777" w:rsidTr="00C41301">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26004008" w14:textId="6C926BB9" w:rsidR="00FC0F36" w:rsidRPr="00290B01" w:rsidRDefault="00FC0F36" w:rsidP="00C41301">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Total other assets</w:t>
            </w:r>
          </w:p>
        </w:tc>
        <w:tc>
          <w:tcPr>
            <w:tcW w:w="709" w:type="dxa"/>
            <w:tcBorders>
              <w:top w:val="single" w:sz="8" w:space="0" w:color="auto"/>
              <w:left w:val="nil"/>
              <w:bottom w:val="double" w:sz="6" w:space="0" w:color="auto"/>
              <w:right w:val="nil"/>
            </w:tcBorders>
            <w:shd w:val="clear" w:color="auto" w:fill="auto"/>
            <w:noWrap/>
            <w:vAlign w:val="bottom"/>
            <w:hideMark/>
          </w:tcPr>
          <w:p w14:paraId="72A527E1" w14:textId="77777777" w:rsidR="00FC0F36" w:rsidRPr="00290B01" w:rsidRDefault="00FC0F36" w:rsidP="00C41301">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44F7CCB0" w14:textId="1D1C57F4" w:rsidR="00FC0F36" w:rsidRPr="00290B01" w:rsidRDefault="00FC0F36" w:rsidP="00C41301">
            <w:pPr>
              <w:jc w:val="right"/>
              <w:rPr>
                <w:rFonts w:eastAsia="Times New Roman" w:cs="Times New Roman"/>
                <w:b/>
                <w:bCs/>
                <w:color w:val="000000"/>
                <w:sz w:val="18"/>
                <w:szCs w:val="18"/>
                <w:lang w:eastAsia="en-GB"/>
              </w:rPr>
            </w:pPr>
            <w:r>
              <w:rPr>
                <w:rFonts w:eastAsia="Times New Roman" w:cs="Times New Roman"/>
                <w:b/>
                <w:bCs/>
                <w:color w:val="000000"/>
                <w:sz w:val="18"/>
                <w:szCs w:val="18"/>
                <w:lang w:eastAsia="en-GB"/>
              </w:rPr>
              <w:t>122,456</w:t>
            </w:r>
          </w:p>
        </w:tc>
        <w:tc>
          <w:tcPr>
            <w:tcW w:w="1560" w:type="dxa"/>
            <w:tcBorders>
              <w:top w:val="single" w:sz="8" w:space="0" w:color="auto"/>
              <w:left w:val="nil"/>
              <w:bottom w:val="double" w:sz="6" w:space="0" w:color="auto"/>
              <w:right w:val="nil"/>
            </w:tcBorders>
            <w:shd w:val="clear" w:color="auto" w:fill="auto"/>
            <w:noWrap/>
            <w:vAlign w:val="bottom"/>
          </w:tcPr>
          <w:p w14:paraId="71744FC8" w14:textId="1FAB2CE4" w:rsidR="00FC0F36" w:rsidRPr="00290B01" w:rsidRDefault="00FC0F36" w:rsidP="00C41301">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17,234</w:t>
            </w:r>
          </w:p>
        </w:tc>
      </w:tr>
    </w:tbl>
    <w:p w14:paraId="4F741FDD" w14:textId="28A74FEE" w:rsidR="009362D0" w:rsidRDefault="009362D0" w:rsidP="009362D0">
      <w:pPr>
        <w:spacing w:before="120" w:after="120"/>
        <w:rPr>
          <w:sz w:val="18"/>
          <w:szCs w:val="18"/>
          <w:lang w:val="en-US"/>
        </w:rPr>
      </w:pPr>
      <w:r>
        <w:rPr>
          <w:sz w:val="18"/>
          <w:szCs w:val="18"/>
          <w:lang w:val="en-US"/>
        </w:rPr>
        <w:t xml:space="preserve">The </w:t>
      </w:r>
      <w:proofErr w:type="gramStart"/>
      <w:r>
        <w:rPr>
          <w:sz w:val="18"/>
          <w:szCs w:val="18"/>
          <w:lang w:val="en-US"/>
        </w:rPr>
        <w:t>amount</w:t>
      </w:r>
      <w:proofErr w:type="gramEnd"/>
      <w:r>
        <w:rPr>
          <w:sz w:val="18"/>
          <w:szCs w:val="18"/>
          <w:lang w:val="en-US"/>
        </w:rPr>
        <w:t xml:space="preserve"> of advances paid due from a related party, “</w:t>
      </w:r>
      <w:proofErr w:type="spellStart"/>
      <w:r>
        <w:rPr>
          <w:sz w:val="18"/>
          <w:szCs w:val="18"/>
          <w:lang w:val="en-US"/>
        </w:rPr>
        <w:t>MediClub</w:t>
      </w:r>
      <w:proofErr w:type="spellEnd"/>
      <w:r>
        <w:rPr>
          <w:sz w:val="18"/>
          <w:szCs w:val="18"/>
          <w:lang w:val="en-US"/>
        </w:rPr>
        <w:t xml:space="preserve">” LLC, as at 31 December 2019 was 99,511 AZN (2018: </w:t>
      </w:r>
      <w:proofErr w:type="spellStart"/>
      <w:r>
        <w:rPr>
          <w:sz w:val="18"/>
          <w:szCs w:val="18"/>
          <w:lang w:val="en-US"/>
        </w:rPr>
        <w:t>nill</w:t>
      </w:r>
      <w:proofErr w:type="spellEnd"/>
      <w:r>
        <w:rPr>
          <w:sz w:val="18"/>
          <w:szCs w:val="18"/>
          <w:lang w:val="en-US"/>
        </w:rPr>
        <w:t>).</w:t>
      </w:r>
    </w:p>
    <w:p w14:paraId="67E4E871" w14:textId="38CD3EEF" w:rsidR="00FC0F36" w:rsidRDefault="00FC0F36" w:rsidP="00FC0F36">
      <w:pPr>
        <w:rPr>
          <w:b/>
          <w:bCs/>
          <w:sz w:val="18"/>
          <w:szCs w:val="18"/>
          <w:lang w:val="en-US"/>
        </w:rPr>
      </w:pPr>
    </w:p>
    <w:p w14:paraId="6253F687" w14:textId="6A75C903" w:rsidR="008B48ED" w:rsidRDefault="008B48ED" w:rsidP="00065112">
      <w:pPr>
        <w:pStyle w:val="ListParagraph"/>
        <w:numPr>
          <w:ilvl w:val="0"/>
          <w:numId w:val="1"/>
        </w:numPr>
        <w:spacing w:before="240" w:after="120"/>
        <w:ind w:left="357" w:hanging="357"/>
        <w:contextualSpacing w:val="0"/>
        <w:outlineLvl w:val="0"/>
        <w:rPr>
          <w:b/>
          <w:bCs/>
          <w:sz w:val="18"/>
          <w:szCs w:val="18"/>
          <w:lang w:val="en-US"/>
        </w:rPr>
      </w:pPr>
      <w:bookmarkStart w:id="58" w:name="_Toc57894902"/>
      <w:r w:rsidRPr="008B48ED">
        <w:rPr>
          <w:b/>
          <w:bCs/>
          <w:sz w:val="18"/>
          <w:szCs w:val="18"/>
          <w:lang w:val="en-US"/>
        </w:rPr>
        <w:t>Provision for unearned premiums</w:t>
      </w:r>
      <w:bookmarkEnd w:id="58"/>
    </w:p>
    <w:p w14:paraId="196CA0A5" w14:textId="0A28ABCF" w:rsidR="008B48ED" w:rsidRPr="009F385B" w:rsidRDefault="008B48ED" w:rsidP="008B48ED">
      <w:pPr>
        <w:rPr>
          <w:sz w:val="18"/>
          <w:szCs w:val="18"/>
          <w:lang w:val="en-US"/>
        </w:rPr>
      </w:pPr>
      <w:r w:rsidRPr="009F385B">
        <w:rPr>
          <w:sz w:val="18"/>
          <w:szCs w:val="18"/>
          <w:lang w:val="en-US"/>
        </w:rPr>
        <w:t>Below is the analysis of provision for unearned premium for the year ended 31 December 201</w:t>
      </w:r>
      <w:r w:rsidR="009F385B">
        <w:rPr>
          <w:sz w:val="18"/>
          <w:szCs w:val="18"/>
          <w:lang w:val="en-US"/>
        </w:rPr>
        <w:t>9</w:t>
      </w:r>
      <w:r w:rsidRPr="009F385B">
        <w:rPr>
          <w:sz w:val="18"/>
          <w:szCs w:val="18"/>
          <w:lang w:val="en-US"/>
        </w:rPr>
        <w:t>:</w:t>
      </w:r>
    </w:p>
    <w:tbl>
      <w:tblPr>
        <w:tblW w:w="5000" w:type="pct"/>
        <w:tblLook w:val="04A0" w:firstRow="1" w:lastRow="0" w:firstColumn="1" w:lastColumn="0" w:noHBand="0" w:noVBand="1"/>
      </w:tblPr>
      <w:tblGrid>
        <w:gridCol w:w="4655"/>
        <w:gridCol w:w="278"/>
        <w:gridCol w:w="1087"/>
        <w:gridCol w:w="1553"/>
        <w:gridCol w:w="1192"/>
      </w:tblGrid>
      <w:tr w:rsidR="009F385B" w:rsidRPr="0091538C" w14:paraId="341EDDFD" w14:textId="77777777" w:rsidTr="009F385B">
        <w:trPr>
          <w:trHeight w:val="300"/>
        </w:trPr>
        <w:tc>
          <w:tcPr>
            <w:tcW w:w="2655" w:type="pct"/>
            <w:tcBorders>
              <w:top w:val="nil"/>
              <w:left w:val="nil"/>
              <w:bottom w:val="nil"/>
              <w:right w:val="nil"/>
            </w:tcBorders>
            <w:shd w:val="clear" w:color="auto" w:fill="auto"/>
            <w:noWrap/>
            <w:vAlign w:val="bottom"/>
            <w:hideMark/>
          </w:tcPr>
          <w:p w14:paraId="21075AAD" w14:textId="77777777" w:rsidR="009F385B" w:rsidRPr="00EC690A" w:rsidRDefault="009F385B" w:rsidP="00CD3678">
            <w:pPr>
              <w:rPr>
                <w:color w:val="000000"/>
                <w:sz w:val="18"/>
                <w:szCs w:val="18"/>
                <w:lang w:eastAsia="en-GB"/>
              </w:rPr>
            </w:pPr>
          </w:p>
        </w:tc>
        <w:tc>
          <w:tcPr>
            <w:tcW w:w="218" w:type="pct"/>
            <w:tcBorders>
              <w:top w:val="nil"/>
              <w:left w:val="nil"/>
              <w:bottom w:val="nil"/>
              <w:right w:val="nil"/>
            </w:tcBorders>
            <w:shd w:val="clear" w:color="auto" w:fill="auto"/>
            <w:noWrap/>
            <w:vAlign w:val="bottom"/>
            <w:hideMark/>
          </w:tcPr>
          <w:p w14:paraId="322E6009" w14:textId="77777777" w:rsidR="009F385B" w:rsidRPr="00EC690A" w:rsidRDefault="009F385B" w:rsidP="00CD3678">
            <w:pPr>
              <w:rPr>
                <w:color w:val="000000"/>
                <w:sz w:val="18"/>
                <w:szCs w:val="18"/>
                <w:lang w:eastAsia="en-GB"/>
              </w:rPr>
            </w:pPr>
          </w:p>
        </w:tc>
        <w:tc>
          <w:tcPr>
            <w:tcW w:w="620" w:type="pct"/>
            <w:tcBorders>
              <w:top w:val="nil"/>
              <w:left w:val="nil"/>
              <w:bottom w:val="single" w:sz="4" w:space="0" w:color="auto"/>
              <w:right w:val="nil"/>
            </w:tcBorders>
            <w:shd w:val="clear" w:color="auto" w:fill="auto"/>
            <w:noWrap/>
            <w:vAlign w:val="bottom"/>
            <w:hideMark/>
          </w:tcPr>
          <w:p w14:paraId="38271429" w14:textId="77777777" w:rsidR="009F385B" w:rsidRPr="00EC690A" w:rsidRDefault="009F385B" w:rsidP="00CD3678">
            <w:pPr>
              <w:rPr>
                <w:color w:val="000000"/>
                <w:sz w:val="18"/>
                <w:szCs w:val="18"/>
                <w:lang w:eastAsia="en-GB"/>
              </w:rPr>
            </w:pPr>
            <w:r w:rsidRPr="00EC690A">
              <w:rPr>
                <w:color w:val="000000"/>
                <w:sz w:val="18"/>
                <w:szCs w:val="18"/>
                <w:lang w:eastAsia="en-GB"/>
              </w:rPr>
              <w:t> </w:t>
            </w:r>
          </w:p>
        </w:tc>
        <w:tc>
          <w:tcPr>
            <w:tcW w:w="886" w:type="pct"/>
            <w:tcBorders>
              <w:top w:val="nil"/>
              <w:left w:val="nil"/>
              <w:bottom w:val="single" w:sz="4" w:space="0" w:color="auto"/>
              <w:right w:val="nil"/>
            </w:tcBorders>
            <w:shd w:val="clear" w:color="auto" w:fill="auto"/>
            <w:noWrap/>
            <w:vAlign w:val="bottom"/>
            <w:hideMark/>
          </w:tcPr>
          <w:p w14:paraId="4E3D2908" w14:textId="77777777" w:rsidR="009F385B" w:rsidRPr="00EC690A" w:rsidRDefault="009F385B" w:rsidP="00CD3678">
            <w:pPr>
              <w:rPr>
                <w:color w:val="000000"/>
                <w:sz w:val="18"/>
                <w:szCs w:val="18"/>
                <w:lang w:eastAsia="en-GB"/>
              </w:rPr>
            </w:pPr>
            <w:r w:rsidRPr="00EC690A">
              <w:rPr>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1B5C0454" w14:textId="079F9538" w:rsidR="009F385B" w:rsidRPr="00EC690A" w:rsidRDefault="00703807" w:rsidP="00CD3678">
            <w:pPr>
              <w:jc w:val="right"/>
              <w:rPr>
                <w:b/>
                <w:bCs/>
                <w:color w:val="000000"/>
                <w:sz w:val="18"/>
                <w:szCs w:val="18"/>
                <w:lang w:eastAsia="en-GB"/>
              </w:rPr>
            </w:pPr>
            <w:r>
              <w:rPr>
                <w:b/>
                <w:bCs/>
                <w:color w:val="000000"/>
                <w:sz w:val="18"/>
                <w:szCs w:val="18"/>
                <w:lang w:eastAsia="en-GB"/>
              </w:rPr>
              <w:t>31.12.</w:t>
            </w:r>
            <w:r w:rsidR="009F385B" w:rsidRPr="00EC690A">
              <w:rPr>
                <w:b/>
                <w:bCs/>
                <w:color w:val="000000"/>
                <w:sz w:val="18"/>
                <w:szCs w:val="18"/>
                <w:lang w:eastAsia="en-GB"/>
              </w:rPr>
              <w:t>201</w:t>
            </w:r>
            <w:r w:rsidR="009F385B">
              <w:rPr>
                <w:b/>
                <w:bCs/>
                <w:color w:val="000000"/>
                <w:sz w:val="18"/>
                <w:szCs w:val="18"/>
                <w:lang w:eastAsia="en-GB"/>
              </w:rPr>
              <w:t>9</w:t>
            </w:r>
          </w:p>
        </w:tc>
      </w:tr>
      <w:tr w:rsidR="009F385B" w:rsidRPr="0091538C" w14:paraId="25C47801" w14:textId="77777777" w:rsidTr="009F385B">
        <w:trPr>
          <w:trHeight w:val="300"/>
        </w:trPr>
        <w:tc>
          <w:tcPr>
            <w:tcW w:w="2655" w:type="pct"/>
            <w:tcBorders>
              <w:top w:val="nil"/>
              <w:left w:val="nil"/>
              <w:bottom w:val="single" w:sz="4" w:space="0" w:color="auto"/>
              <w:right w:val="nil"/>
            </w:tcBorders>
            <w:shd w:val="clear" w:color="auto" w:fill="auto"/>
            <w:noWrap/>
            <w:vAlign w:val="bottom"/>
            <w:hideMark/>
          </w:tcPr>
          <w:p w14:paraId="1F36F3BA" w14:textId="77777777" w:rsidR="009F385B" w:rsidRPr="00EC690A" w:rsidRDefault="009F385B" w:rsidP="00CD3678">
            <w:pPr>
              <w:rPr>
                <w:b/>
                <w:bCs/>
                <w:color w:val="000000"/>
                <w:sz w:val="18"/>
                <w:szCs w:val="18"/>
                <w:lang w:eastAsia="en-GB"/>
              </w:rPr>
            </w:pPr>
            <w:r w:rsidRPr="00EC690A">
              <w:rPr>
                <w:b/>
                <w:bCs/>
                <w:color w:val="000000"/>
                <w:sz w:val="18"/>
                <w:szCs w:val="18"/>
                <w:lang w:eastAsia="en-GB"/>
              </w:rPr>
              <w:t> </w:t>
            </w:r>
          </w:p>
        </w:tc>
        <w:tc>
          <w:tcPr>
            <w:tcW w:w="218" w:type="pct"/>
            <w:tcBorders>
              <w:top w:val="nil"/>
              <w:left w:val="nil"/>
              <w:bottom w:val="single" w:sz="4" w:space="0" w:color="auto"/>
              <w:right w:val="nil"/>
            </w:tcBorders>
            <w:shd w:val="clear" w:color="auto" w:fill="auto"/>
            <w:noWrap/>
            <w:vAlign w:val="bottom"/>
            <w:hideMark/>
          </w:tcPr>
          <w:p w14:paraId="1A30DE9F" w14:textId="77777777" w:rsidR="009F385B" w:rsidRPr="00EC690A" w:rsidRDefault="009F385B"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5FD92824" w14:textId="77777777" w:rsidR="009F385B" w:rsidRPr="00EC690A" w:rsidRDefault="009F385B" w:rsidP="00CD3678">
            <w:pPr>
              <w:jc w:val="right"/>
              <w:rPr>
                <w:b/>
                <w:bCs/>
                <w:color w:val="000000"/>
                <w:sz w:val="18"/>
                <w:szCs w:val="18"/>
                <w:lang w:eastAsia="en-GB"/>
              </w:rPr>
            </w:pPr>
            <w:r w:rsidRPr="00EC690A">
              <w:rPr>
                <w:b/>
                <w:bCs/>
                <w:color w:val="000000"/>
                <w:sz w:val="18"/>
                <w:szCs w:val="18"/>
                <w:lang w:eastAsia="en-GB"/>
              </w:rPr>
              <w:t>Gross</w:t>
            </w:r>
          </w:p>
        </w:tc>
        <w:tc>
          <w:tcPr>
            <w:tcW w:w="886" w:type="pct"/>
            <w:tcBorders>
              <w:top w:val="nil"/>
              <w:left w:val="nil"/>
              <w:bottom w:val="single" w:sz="4" w:space="0" w:color="auto"/>
              <w:right w:val="nil"/>
            </w:tcBorders>
            <w:shd w:val="clear" w:color="auto" w:fill="auto"/>
            <w:noWrap/>
            <w:vAlign w:val="bottom"/>
            <w:hideMark/>
          </w:tcPr>
          <w:p w14:paraId="28E5D7A1" w14:textId="77777777" w:rsidR="009F385B" w:rsidRPr="00EC690A" w:rsidRDefault="009F385B" w:rsidP="00CD3678">
            <w:pPr>
              <w:jc w:val="right"/>
              <w:rPr>
                <w:b/>
                <w:bCs/>
                <w:color w:val="000000"/>
                <w:sz w:val="18"/>
                <w:szCs w:val="18"/>
                <w:lang w:eastAsia="en-GB"/>
              </w:rPr>
            </w:pPr>
            <w:r w:rsidRPr="00EC690A">
              <w:rPr>
                <w:b/>
                <w:bCs/>
                <w:color w:val="000000"/>
                <w:sz w:val="18"/>
                <w:szCs w:val="18"/>
                <w:lang w:eastAsia="en-GB"/>
              </w:rPr>
              <w:t>Reinsurer's part</w:t>
            </w:r>
          </w:p>
        </w:tc>
        <w:tc>
          <w:tcPr>
            <w:tcW w:w="620" w:type="pct"/>
            <w:tcBorders>
              <w:top w:val="nil"/>
              <w:left w:val="nil"/>
              <w:bottom w:val="single" w:sz="4" w:space="0" w:color="auto"/>
              <w:right w:val="nil"/>
            </w:tcBorders>
            <w:shd w:val="clear" w:color="auto" w:fill="auto"/>
            <w:noWrap/>
            <w:vAlign w:val="bottom"/>
            <w:hideMark/>
          </w:tcPr>
          <w:p w14:paraId="148DFA35" w14:textId="77777777" w:rsidR="009F385B" w:rsidRPr="00EC690A" w:rsidRDefault="009F385B" w:rsidP="00CD3678">
            <w:pPr>
              <w:jc w:val="right"/>
              <w:rPr>
                <w:b/>
                <w:bCs/>
                <w:color w:val="000000"/>
                <w:sz w:val="18"/>
                <w:szCs w:val="18"/>
                <w:lang w:eastAsia="en-GB"/>
              </w:rPr>
            </w:pPr>
            <w:r w:rsidRPr="00EC690A">
              <w:rPr>
                <w:b/>
                <w:bCs/>
                <w:color w:val="000000"/>
                <w:sz w:val="18"/>
                <w:szCs w:val="18"/>
                <w:lang w:eastAsia="en-GB"/>
              </w:rPr>
              <w:t>Net</w:t>
            </w:r>
          </w:p>
        </w:tc>
      </w:tr>
      <w:tr w:rsidR="009F385B" w:rsidRPr="0091538C" w14:paraId="629AF389" w14:textId="77777777" w:rsidTr="009F385B">
        <w:trPr>
          <w:trHeight w:val="300"/>
        </w:trPr>
        <w:tc>
          <w:tcPr>
            <w:tcW w:w="2655" w:type="pct"/>
            <w:tcBorders>
              <w:top w:val="nil"/>
              <w:left w:val="nil"/>
              <w:bottom w:val="nil"/>
              <w:right w:val="nil"/>
            </w:tcBorders>
            <w:shd w:val="clear" w:color="auto" w:fill="auto"/>
            <w:noWrap/>
            <w:vAlign w:val="bottom"/>
            <w:hideMark/>
          </w:tcPr>
          <w:p w14:paraId="7D3C9367" w14:textId="77777777" w:rsidR="009F385B" w:rsidRPr="00EC690A" w:rsidRDefault="009F385B" w:rsidP="00CD3678">
            <w:pPr>
              <w:spacing w:before="240"/>
              <w:rPr>
                <w:color w:val="000000"/>
                <w:sz w:val="18"/>
                <w:szCs w:val="18"/>
                <w:lang w:eastAsia="en-GB"/>
              </w:rPr>
            </w:pPr>
            <w:r w:rsidRPr="00EC690A">
              <w:rPr>
                <w:color w:val="000000"/>
                <w:sz w:val="18"/>
                <w:szCs w:val="18"/>
                <w:lang w:eastAsia="en-GB"/>
              </w:rPr>
              <w:t>Provision for unearned premiums as at 1 January</w:t>
            </w:r>
          </w:p>
        </w:tc>
        <w:tc>
          <w:tcPr>
            <w:tcW w:w="218" w:type="pct"/>
            <w:tcBorders>
              <w:top w:val="nil"/>
              <w:left w:val="nil"/>
              <w:bottom w:val="nil"/>
              <w:right w:val="nil"/>
            </w:tcBorders>
            <w:shd w:val="clear" w:color="auto" w:fill="auto"/>
            <w:noWrap/>
            <w:vAlign w:val="bottom"/>
            <w:hideMark/>
          </w:tcPr>
          <w:p w14:paraId="17EFDCD8" w14:textId="77777777" w:rsidR="009F385B" w:rsidRPr="00EC690A" w:rsidRDefault="009F385B"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67F7F8D9" w14:textId="07FF95CB" w:rsidR="009F385B" w:rsidRPr="00EC690A" w:rsidRDefault="009F385B" w:rsidP="00CD3678">
            <w:pPr>
              <w:jc w:val="right"/>
              <w:rPr>
                <w:color w:val="000000"/>
                <w:sz w:val="18"/>
                <w:szCs w:val="18"/>
                <w:lang w:eastAsia="en-GB"/>
              </w:rPr>
            </w:pPr>
            <w:r>
              <w:rPr>
                <w:color w:val="000000"/>
                <w:sz w:val="18"/>
                <w:szCs w:val="18"/>
                <w:lang w:eastAsia="en-GB"/>
              </w:rPr>
              <w:t>8,804,895</w:t>
            </w:r>
          </w:p>
        </w:tc>
        <w:tc>
          <w:tcPr>
            <w:tcW w:w="886" w:type="pct"/>
            <w:tcBorders>
              <w:top w:val="nil"/>
              <w:left w:val="nil"/>
              <w:bottom w:val="nil"/>
              <w:right w:val="nil"/>
            </w:tcBorders>
            <w:shd w:val="clear" w:color="auto" w:fill="auto"/>
            <w:noWrap/>
            <w:vAlign w:val="bottom"/>
          </w:tcPr>
          <w:p w14:paraId="2F128762" w14:textId="59CFBCC0" w:rsidR="009F385B" w:rsidRPr="00EC690A" w:rsidRDefault="009F385B" w:rsidP="009F385B">
            <w:pPr>
              <w:jc w:val="right"/>
              <w:rPr>
                <w:color w:val="000000"/>
                <w:sz w:val="18"/>
                <w:szCs w:val="18"/>
                <w:lang w:eastAsia="en-GB"/>
              </w:rPr>
            </w:pPr>
            <w:r>
              <w:rPr>
                <w:color w:val="000000"/>
                <w:sz w:val="18"/>
                <w:szCs w:val="18"/>
                <w:lang w:eastAsia="en-GB"/>
              </w:rPr>
              <w:t>(708,477)</w:t>
            </w:r>
          </w:p>
        </w:tc>
        <w:tc>
          <w:tcPr>
            <w:tcW w:w="620" w:type="pct"/>
            <w:tcBorders>
              <w:top w:val="nil"/>
              <w:left w:val="nil"/>
              <w:bottom w:val="nil"/>
              <w:right w:val="nil"/>
            </w:tcBorders>
            <w:shd w:val="clear" w:color="auto" w:fill="auto"/>
            <w:noWrap/>
            <w:vAlign w:val="bottom"/>
          </w:tcPr>
          <w:p w14:paraId="74E07950" w14:textId="7F3610B1" w:rsidR="009F385B" w:rsidRPr="00EC690A" w:rsidRDefault="009F385B" w:rsidP="00CD3678">
            <w:pPr>
              <w:jc w:val="right"/>
              <w:rPr>
                <w:color w:val="000000"/>
                <w:sz w:val="18"/>
                <w:szCs w:val="18"/>
                <w:lang w:eastAsia="en-GB"/>
              </w:rPr>
            </w:pPr>
            <w:r>
              <w:rPr>
                <w:color w:val="000000"/>
                <w:sz w:val="18"/>
                <w:szCs w:val="18"/>
                <w:lang w:eastAsia="en-GB"/>
              </w:rPr>
              <w:t>8,096,418</w:t>
            </w:r>
          </w:p>
        </w:tc>
      </w:tr>
      <w:tr w:rsidR="009F385B" w:rsidRPr="00EC690A" w14:paraId="721953EA" w14:textId="77777777" w:rsidTr="009F385B">
        <w:trPr>
          <w:trHeight w:val="300"/>
        </w:trPr>
        <w:tc>
          <w:tcPr>
            <w:tcW w:w="2655" w:type="pct"/>
            <w:tcBorders>
              <w:top w:val="nil"/>
              <w:left w:val="nil"/>
              <w:bottom w:val="nil"/>
              <w:right w:val="nil"/>
            </w:tcBorders>
            <w:shd w:val="clear" w:color="auto" w:fill="auto"/>
            <w:noWrap/>
            <w:vAlign w:val="bottom"/>
            <w:hideMark/>
          </w:tcPr>
          <w:p w14:paraId="6D7DCA2D" w14:textId="77777777" w:rsidR="009F385B" w:rsidRPr="00EC690A" w:rsidRDefault="009F385B" w:rsidP="00CD3678">
            <w:pPr>
              <w:rPr>
                <w:color w:val="000000"/>
                <w:sz w:val="18"/>
                <w:szCs w:val="18"/>
                <w:lang w:eastAsia="en-GB"/>
              </w:rPr>
            </w:pPr>
            <w:r w:rsidRPr="00EC690A">
              <w:rPr>
                <w:color w:val="000000"/>
                <w:sz w:val="18"/>
                <w:szCs w:val="18"/>
                <w:lang w:eastAsia="en-GB"/>
              </w:rPr>
              <w:t>Change in provision for unearned premiums</w:t>
            </w:r>
          </w:p>
        </w:tc>
        <w:tc>
          <w:tcPr>
            <w:tcW w:w="218" w:type="pct"/>
            <w:tcBorders>
              <w:top w:val="nil"/>
              <w:left w:val="nil"/>
              <w:bottom w:val="nil"/>
              <w:right w:val="nil"/>
            </w:tcBorders>
            <w:shd w:val="clear" w:color="auto" w:fill="auto"/>
            <w:noWrap/>
            <w:vAlign w:val="bottom"/>
            <w:hideMark/>
          </w:tcPr>
          <w:p w14:paraId="0DC20069" w14:textId="77777777" w:rsidR="009F385B" w:rsidRPr="00EC690A" w:rsidRDefault="009F385B"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66966A86" w14:textId="00011B0C" w:rsidR="009F385B" w:rsidRPr="00EC690A" w:rsidRDefault="009362D0" w:rsidP="00CD3678">
            <w:pPr>
              <w:jc w:val="right"/>
              <w:rPr>
                <w:color w:val="000000"/>
                <w:sz w:val="18"/>
                <w:szCs w:val="18"/>
                <w:lang w:eastAsia="en-GB"/>
              </w:rPr>
            </w:pPr>
            <w:r>
              <w:rPr>
                <w:color w:val="000000"/>
                <w:sz w:val="18"/>
                <w:szCs w:val="18"/>
                <w:lang w:eastAsia="en-GB"/>
              </w:rPr>
              <w:t>1,170,064</w:t>
            </w:r>
          </w:p>
        </w:tc>
        <w:tc>
          <w:tcPr>
            <w:tcW w:w="886" w:type="pct"/>
            <w:tcBorders>
              <w:top w:val="nil"/>
              <w:left w:val="nil"/>
              <w:bottom w:val="nil"/>
              <w:right w:val="nil"/>
            </w:tcBorders>
            <w:shd w:val="clear" w:color="auto" w:fill="auto"/>
            <w:noWrap/>
            <w:vAlign w:val="bottom"/>
          </w:tcPr>
          <w:p w14:paraId="3381813B" w14:textId="05B4DD7F" w:rsidR="009F385B" w:rsidRPr="00EC690A" w:rsidRDefault="009362D0" w:rsidP="00CD3678">
            <w:pPr>
              <w:jc w:val="right"/>
              <w:rPr>
                <w:color w:val="000000"/>
                <w:sz w:val="18"/>
                <w:szCs w:val="18"/>
                <w:lang w:eastAsia="en-GB"/>
              </w:rPr>
            </w:pPr>
            <w:r>
              <w:rPr>
                <w:color w:val="000000"/>
                <w:sz w:val="18"/>
                <w:szCs w:val="18"/>
                <w:lang w:eastAsia="en-GB"/>
              </w:rPr>
              <w:t>(334,387)</w:t>
            </w:r>
          </w:p>
        </w:tc>
        <w:tc>
          <w:tcPr>
            <w:tcW w:w="620" w:type="pct"/>
            <w:tcBorders>
              <w:top w:val="nil"/>
              <w:left w:val="nil"/>
              <w:bottom w:val="nil"/>
              <w:right w:val="nil"/>
            </w:tcBorders>
            <w:shd w:val="clear" w:color="auto" w:fill="auto"/>
            <w:noWrap/>
            <w:vAlign w:val="bottom"/>
          </w:tcPr>
          <w:p w14:paraId="0A477327" w14:textId="7FF34B02" w:rsidR="009F385B" w:rsidRPr="00EC690A" w:rsidRDefault="009362D0" w:rsidP="00CD3678">
            <w:pPr>
              <w:jc w:val="right"/>
              <w:rPr>
                <w:color w:val="000000"/>
                <w:sz w:val="18"/>
                <w:szCs w:val="18"/>
                <w:lang w:eastAsia="en-GB"/>
              </w:rPr>
            </w:pPr>
            <w:r>
              <w:rPr>
                <w:color w:val="000000"/>
                <w:sz w:val="18"/>
                <w:szCs w:val="18"/>
                <w:lang w:eastAsia="en-GB"/>
              </w:rPr>
              <w:t>835,677</w:t>
            </w:r>
          </w:p>
        </w:tc>
      </w:tr>
      <w:tr w:rsidR="009F385B" w:rsidRPr="00EC690A" w14:paraId="022FA44E" w14:textId="77777777" w:rsidTr="009F385B">
        <w:trPr>
          <w:trHeight w:val="315"/>
        </w:trPr>
        <w:tc>
          <w:tcPr>
            <w:tcW w:w="2655" w:type="pct"/>
            <w:tcBorders>
              <w:top w:val="single" w:sz="4" w:space="0" w:color="auto"/>
              <w:left w:val="nil"/>
              <w:bottom w:val="double" w:sz="6" w:space="0" w:color="auto"/>
              <w:right w:val="nil"/>
            </w:tcBorders>
            <w:shd w:val="clear" w:color="auto" w:fill="auto"/>
            <w:noWrap/>
            <w:vAlign w:val="bottom"/>
            <w:hideMark/>
          </w:tcPr>
          <w:p w14:paraId="50B5336A" w14:textId="77777777" w:rsidR="009F385B" w:rsidRPr="00EC690A" w:rsidRDefault="009F385B" w:rsidP="00CD3678">
            <w:pPr>
              <w:rPr>
                <w:b/>
                <w:bCs/>
                <w:color w:val="000000"/>
                <w:sz w:val="18"/>
                <w:szCs w:val="18"/>
                <w:lang w:eastAsia="en-GB"/>
              </w:rPr>
            </w:pPr>
            <w:r w:rsidRPr="00EC690A">
              <w:rPr>
                <w:b/>
                <w:bCs/>
                <w:color w:val="000000"/>
                <w:sz w:val="18"/>
                <w:szCs w:val="18"/>
                <w:lang w:eastAsia="en-GB"/>
              </w:rPr>
              <w:t>Provision for unearned premiums as at 31 December</w:t>
            </w:r>
          </w:p>
        </w:tc>
        <w:tc>
          <w:tcPr>
            <w:tcW w:w="218" w:type="pct"/>
            <w:tcBorders>
              <w:top w:val="single" w:sz="4" w:space="0" w:color="auto"/>
              <w:left w:val="nil"/>
              <w:bottom w:val="double" w:sz="6" w:space="0" w:color="auto"/>
              <w:right w:val="nil"/>
            </w:tcBorders>
            <w:shd w:val="clear" w:color="auto" w:fill="auto"/>
            <w:noWrap/>
            <w:vAlign w:val="bottom"/>
            <w:hideMark/>
          </w:tcPr>
          <w:p w14:paraId="528249A4" w14:textId="77777777" w:rsidR="009F385B" w:rsidRPr="00EC690A" w:rsidRDefault="009F385B"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single" w:sz="4" w:space="0" w:color="auto"/>
              <w:left w:val="nil"/>
              <w:bottom w:val="double" w:sz="6" w:space="0" w:color="auto"/>
              <w:right w:val="nil"/>
            </w:tcBorders>
            <w:shd w:val="clear" w:color="auto" w:fill="auto"/>
            <w:noWrap/>
            <w:vAlign w:val="bottom"/>
          </w:tcPr>
          <w:p w14:paraId="6B4FF423" w14:textId="46A5D32D" w:rsidR="009F385B" w:rsidRPr="00EC690A" w:rsidRDefault="009362D0" w:rsidP="00CD3678">
            <w:pPr>
              <w:jc w:val="right"/>
              <w:rPr>
                <w:b/>
                <w:bCs/>
                <w:color w:val="000000"/>
                <w:sz w:val="18"/>
                <w:szCs w:val="18"/>
                <w:lang w:eastAsia="en-GB"/>
              </w:rPr>
            </w:pPr>
            <w:r>
              <w:rPr>
                <w:b/>
                <w:bCs/>
                <w:color w:val="000000"/>
                <w:sz w:val="18"/>
                <w:szCs w:val="18"/>
                <w:lang w:eastAsia="en-GB"/>
              </w:rPr>
              <w:t>9,974,959</w:t>
            </w:r>
          </w:p>
        </w:tc>
        <w:tc>
          <w:tcPr>
            <w:tcW w:w="886" w:type="pct"/>
            <w:tcBorders>
              <w:top w:val="single" w:sz="4" w:space="0" w:color="auto"/>
              <w:left w:val="nil"/>
              <w:bottom w:val="double" w:sz="6" w:space="0" w:color="auto"/>
              <w:right w:val="nil"/>
            </w:tcBorders>
            <w:shd w:val="clear" w:color="auto" w:fill="auto"/>
            <w:noWrap/>
            <w:vAlign w:val="bottom"/>
          </w:tcPr>
          <w:p w14:paraId="7555E191" w14:textId="708F4750" w:rsidR="009F385B" w:rsidRPr="00EC690A" w:rsidRDefault="009362D0" w:rsidP="00CD3678">
            <w:pPr>
              <w:jc w:val="right"/>
              <w:rPr>
                <w:b/>
                <w:bCs/>
                <w:color w:val="000000"/>
                <w:sz w:val="18"/>
                <w:szCs w:val="18"/>
                <w:lang w:eastAsia="en-GB"/>
              </w:rPr>
            </w:pPr>
            <w:r>
              <w:rPr>
                <w:b/>
                <w:bCs/>
                <w:color w:val="000000"/>
                <w:sz w:val="18"/>
                <w:szCs w:val="18"/>
                <w:lang w:eastAsia="en-GB"/>
              </w:rPr>
              <w:t>(1,042,864)</w:t>
            </w:r>
          </w:p>
        </w:tc>
        <w:tc>
          <w:tcPr>
            <w:tcW w:w="620" w:type="pct"/>
            <w:tcBorders>
              <w:top w:val="single" w:sz="4" w:space="0" w:color="auto"/>
              <w:left w:val="nil"/>
              <w:bottom w:val="double" w:sz="6" w:space="0" w:color="auto"/>
              <w:right w:val="nil"/>
            </w:tcBorders>
            <w:shd w:val="clear" w:color="auto" w:fill="auto"/>
            <w:noWrap/>
            <w:vAlign w:val="bottom"/>
          </w:tcPr>
          <w:p w14:paraId="7ABB6571" w14:textId="32E4795C" w:rsidR="009F385B" w:rsidRPr="00EC690A" w:rsidRDefault="009362D0" w:rsidP="00CD3678">
            <w:pPr>
              <w:jc w:val="right"/>
              <w:rPr>
                <w:b/>
                <w:bCs/>
                <w:color w:val="000000"/>
                <w:sz w:val="18"/>
                <w:szCs w:val="18"/>
                <w:lang w:eastAsia="en-GB"/>
              </w:rPr>
            </w:pPr>
            <w:r>
              <w:rPr>
                <w:b/>
                <w:bCs/>
                <w:color w:val="000000"/>
                <w:sz w:val="18"/>
                <w:szCs w:val="18"/>
                <w:lang w:eastAsia="en-GB"/>
              </w:rPr>
              <w:t>8,932,095</w:t>
            </w:r>
          </w:p>
        </w:tc>
      </w:tr>
    </w:tbl>
    <w:p w14:paraId="59C4D524" w14:textId="52B0C85F" w:rsidR="009F385B" w:rsidRPr="009F385B" w:rsidRDefault="009F385B" w:rsidP="009362D0">
      <w:pPr>
        <w:spacing w:before="120" w:after="120"/>
        <w:rPr>
          <w:sz w:val="18"/>
          <w:szCs w:val="18"/>
          <w:lang w:val="en-US"/>
        </w:rPr>
      </w:pPr>
      <w:r w:rsidRPr="009F385B">
        <w:rPr>
          <w:sz w:val="18"/>
          <w:szCs w:val="18"/>
          <w:lang w:val="en-US"/>
        </w:rPr>
        <w:t>Below is the analysis of provision for unearned premium for the year ended 31 December 201</w:t>
      </w:r>
      <w:r w:rsidR="009362D0">
        <w:rPr>
          <w:sz w:val="18"/>
          <w:szCs w:val="18"/>
          <w:lang w:val="en-US"/>
        </w:rPr>
        <w:t>8</w:t>
      </w:r>
      <w:r w:rsidRPr="009F385B">
        <w:rPr>
          <w:sz w:val="18"/>
          <w:szCs w:val="18"/>
          <w:lang w:val="en-US"/>
        </w:rPr>
        <w:t>:</w:t>
      </w:r>
    </w:p>
    <w:tbl>
      <w:tblPr>
        <w:tblW w:w="5000" w:type="pct"/>
        <w:tblLook w:val="04A0" w:firstRow="1" w:lastRow="0" w:firstColumn="1" w:lastColumn="0" w:noHBand="0" w:noVBand="1"/>
      </w:tblPr>
      <w:tblGrid>
        <w:gridCol w:w="4655"/>
        <w:gridCol w:w="278"/>
        <w:gridCol w:w="1087"/>
        <w:gridCol w:w="1553"/>
        <w:gridCol w:w="1192"/>
      </w:tblGrid>
      <w:tr w:rsidR="009F385B" w:rsidRPr="0091538C" w14:paraId="70404EE8" w14:textId="77777777" w:rsidTr="00CD3678">
        <w:trPr>
          <w:trHeight w:val="300"/>
        </w:trPr>
        <w:tc>
          <w:tcPr>
            <w:tcW w:w="2655" w:type="pct"/>
            <w:tcBorders>
              <w:top w:val="nil"/>
              <w:left w:val="nil"/>
              <w:bottom w:val="nil"/>
              <w:right w:val="nil"/>
            </w:tcBorders>
            <w:shd w:val="clear" w:color="auto" w:fill="auto"/>
            <w:noWrap/>
            <w:vAlign w:val="bottom"/>
            <w:hideMark/>
          </w:tcPr>
          <w:p w14:paraId="703E447D" w14:textId="77777777" w:rsidR="009F385B" w:rsidRPr="00EC690A" w:rsidRDefault="009F385B" w:rsidP="00CD3678">
            <w:pPr>
              <w:rPr>
                <w:color w:val="000000"/>
                <w:sz w:val="18"/>
                <w:szCs w:val="18"/>
                <w:lang w:eastAsia="en-GB"/>
              </w:rPr>
            </w:pPr>
          </w:p>
        </w:tc>
        <w:tc>
          <w:tcPr>
            <w:tcW w:w="218" w:type="pct"/>
            <w:tcBorders>
              <w:top w:val="nil"/>
              <w:left w:val="nil"/>
              <w:bottom w:val="nil"/>
              <w:right w:val="nil"/>
            </w:tcBorders>
            <w:shd w:val="clear" w:color="auto" w:fill="auto"/>
            <w:noWrap/>
            <w:vAlign w:val="bottom"/>
            <w:hideMark/>
          </w:tcPr>
          <w:p w14:paraId="1FD6516B" w14:textId="77777777" w:rsidR="009F385B" w:rsidRPr="00EC690A" w:rsidRDefault="009F385B" w:rsidP="00CD3678">
            <w:pPr>
              <w:rPr>
                <w:color w:val="000000"/>
                <w:sz w:val="18"/>
                <w:szCs w:val="18"/>
                <w:lang w:eastAsia="en-GB"/>
              </w:rPr>
            </w:pPr>
          </w:p>
        </w:tc>
        <w:tc>
          <w:tcPr>
            <w:tcW w:w="620" w:type="pct"/>
            <w:tcBorders>
              <w:top w:val="nil"/>
              <w:left w:val="nil"/>
              <w:bottom w:val="single" w:sz="4" w:space="0" w:color="auto"/>
              <w:right w:val="nil"/>
            </w:tcBorders>
            <w:shd w:val="clear" w:color="auto" w:fill="auto"/>
            <w:noWrap/>
            <w:vAlign w:val="bottom"/>
            <w:hideMark/>
          </w:tcPr>
          <w:p w14:paraId="7BFE3FD2" w14:textId="77777777" w:rsidR="009F385B" w:rsidRPr="00EC690A" w:rsidRDefault="009F385B" w:rsidP="00CD3678">
            <w:pPr>
              <w:rPr>
                <w:color w:val="000000"/>
                <w:sz w:val="18"/>
                <w:szCs w:val="18"/>
                <w:lang w:eastAsia="en-GB"/>
              </w:rPr>
            </w:pPr>
            <w:r w:rsidRPr="00EC690A">
              <w:rPr>
                <w:color w:val="000000"/>
                <w:sz w:val="18"/>
                <w:szCs w:val="18"/>
                <w:lang w:eastAsia="en-GB"/>
              </w:rPr>
              <w:t> </w:t>
            </w:r>
          </w:p>
        </w:tc>
        <w:tc>
          <w:tcPr>
            <w:tcW w:w="886" w:type="pct"/>
            <w:tcBorders>
              <w:top w:val="nil"/>
              <w:left w:val="nil"/>
              <w:bottom w:val="single" w:sz="4" w:space="0" w:color="auto"/>
              <w:right w:val="nil"/>
            </w:tcBorders>
            <w:shd w:val="clear" w:color="auto" w:fill="auto"/>
            <w:noWrap/>
            <w:vAlign w:val="bottom"/>
            <w:hideMark/>
          </w:tcPr>
          <w:p w14:paraId="63E36634" w14:textId="77777777" w:rsidR="009F385B" w:rsidRPr="00EC690A" w:rsidRDefault="009F385B" w:rsidP="00CD3678">
            <w:pPr>
              <w:rPr>
                <w:color w:val="000000"/>
                <w:sz w:val="18"/>
                <w:szCs w:val="18"/>
                <w:lang w:eastAsia="en-GB"/>
              </w:rPr>
            </w:pPr>
            <w:r w:rsidRPr="00EC690A">
              <w:rPr>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25D4D01A" w14:textId="5BF7BB8B" w:rsidR="009F385B" w:rsidRPr="00EC690A" w:rsidRDefault="00703807" w:rsidP="00CD3678">
            <w:pPr>
              <w:jc w:val="right"/>
              <w:rPr>
                <w:b/>
                <w:bCs/>
                <w:color w:val="000000"/>
                <w:sz w:val="18"/>
                <w:szCs w:val="18"/>
                <w:lang w:eastAsia="en-GB"/>
              </w:rPr>
            </w:pPr>
            <w:r>
              <w:rPr>
                <w:b/>
                <w:bCs/>
                <w:color w:val="000000"/>
                <w:sz w:val="18"/>
                <w:szCs w:val="18"/>
                <w:lang w:eastAsia="en-GB"/>
              </w:rPr>
              <w:t>31.12.</w:t>
            </w:r>
            <w:r w:rsidR="009F385B" w:rsidRPr="00EC690A">
              <w:rPr>
                <w:b/>
                <w:bCs/>
                <w:color w:val="000000"/>
                <w:sz w:val="18"/>
                <w:szCs w:val="18"/>
                <w:lang w:eastAsia="en-GB"/>
              </w:rPr>
              <w:t>201</w:t>
            </w:r>
            <w:r w:rsidR="009F385B">
              <w:rPr>
                <w:b/>
                <w:bCs/>
                <w:color w:val="000000"/>
                <w:sz w:val="18"/>
                <w:szCs w:val="18"/>
                <w:lang w:eastAsia="en-GB"/>
              </w:rPr>
              <w:t>8</w:t>
            </w:r>
          </w:p>
        </w:tc>
      </w:tr>
      <w:tr w:rsidR="009F385B" w:rsidRPr="0091538C" w14:paraId="61F87D2C" w14:textId="77777777" w:rsidTr="00CD3678">
        <w:trPr>
          <w:trHeight w:val="300"/>
        </w:trPr>
        <w:tc>
          <w:tcPr>
            <w:tcW w:w="2655" w:type="pct"/>
            <w:tcBorders>
              <w:top w:val="nil"/>
              <w:left w:val="nil"/>
              <w:bottom w:val="single" w:sz="4" w:space="0" w:color="auto"/>
              <w:right w:val="nil"/>
            </w:tcBorders>
            <w:shd w:val="clear" w:color="auto" w:fill="auto"/>
            <w:noWrap/>
            <w:vAlign w:val="bottom"/>
            <w:hideMark/>
          </w:tcPr>
          <w:p w14:paraId="6E2015D6" w14:textId="77777777" w:rsidR="009F385B" w:rsidRPr="00EC690A" w:rsidRDefault="009F385B" w:rsidP="00CD3678">
            <w:pPr>
              <w:rPr>
                <w:b/>
                <w:bCs/>
                <w:color w:val="000000"/>
                <w:sz w:val="18"/>
                <w:szCs w:val="18"/>
                <w:lang w:eastAsia="en-GB"/>
              </w:rPr>
            </w:pPr>
            <w:r w:rsidRPr="00EC690A">
              <w:rPr>
                <w:b/>
                <w:bCs/>
                <w:color w:val="000000"/>
                <w:sz w:val="18"/>
                <w:szCs w:val="18"/>
                <w:lang w:eastAsia="en-GB"/>
              </w:rPr>
              <w:t> </w:t>
            </w:r>
          </w:p>
        </w:tc>
        <w:tc>
          <w:tcPr>
            <w:tcW w:w="218" w:type="pct"/>
            <w:tcBorders>
              <w:top w:val="nil"/>
              <w:left w:val="nil"/>
              <w:bottom w:val="single" w:sz="4" w:space="0" w:color="auto"/>
              <w:right w:val="nil"/>
            </w:tcBorders>
            <w:shd w:val="clear" w:color="auto" w:fill="auto"/>
            <w:noWrap/>
            <w:vAlign w:val="bottom"/>
            <w:hideMark/>
          </w:tcPr>
          <w:p w14:paraId="5FF2A0CF" w14:textId="77777777" w:rsidR="009F385B" w:rsidRPr="00EC690A" w:rsidRDefault="009F385B"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7A101EF4" w14:textId="77777777" w:rsidR="009F385B" w:rsidRPr="00EC690A" w:rsidRDefault="009F385B" w:rsidP="00CD3678">
            <w:pPr>
              <w:jc w:val="right"/>
              <w:rPr>
                <w:b/>
                <w:bCs/>
                <w:color w:val="000000"/>
                <w:sz w:val="18"/>
                <w:szCs w:val="18"/>
                <w:lang w:eastAsia="en-GB"/>
              </w:rPr>
            </w:pPr>
            <w:r w:rsidRPr="00EC690A">
              <w:rPr>
                <w:b/>
                <w:bCs/>
                <w:color w:val="000000"/>
                <w:sz w:val="18"/>
                <w:szCs w:val="18"/>
                <w:lang w:eastAsia="en-GB"/>
              </w:rPr>
              <w:t>Gross</w:t>
            </w:r>
          </w:p>
        </w:tc>
        <w:tc>
          <w:tcPr>
            <w:tcW w:w="886" w:type="pct"/>
            <w:tcBorders>
              <w:top w:val="nil"/>
              <w:left w:val="nil"/>
              <w:bottom w:val="single" w:sz="4" w:space="0" w:color="auto"/>
              <w:right w:val="nil"/>
            </w:tcBorders>
            <w:shd w:val="clear" w:color="auto" w:fill="auto"/>
            <w:noWrap/>
            <w:vAlign w:val="bottom"/>
            <w:hideMark/>
          </w:tcPr>
          <w:p w14:paraId="57807D36" w14:textId="77777777" w:rsidR="009F385B" w:rsidRPr="00EC690A" w:rsidRDefault="009F385B" w:rsidP="00CD3678">
            <w:pPr>
              <w:jc w:val="right"/>
              <w:rPr>
                <w:b/>
                <w:bCs/>
                <w:color w:val="000000"/>
                <w:sz w:val="18"/>
                <w:szCs w:val="18"/>
                <w:lang w:eastAsia="en-GB"/>
              </w:rPr>
            </w:pPr>
            <w:r w:rsidRPr="00EC690A">
              <w:rPr>
                <w:b/>
                <w:bCs/>
                <w:color w:val="000000"/>
                <w:sz w:val="18"/>
                <w:szCs w:val="18"/>
                <w:lang w:eastAsia="en-GB"/>
              </w:rPr>
              <w:t>Reinsurer's part</w:t>
            </w:r>
          </w:p>
        </w:tc>
        <w:tc>
          <w:tcPr>
            <w:tcW w:w="620" w:type="pct"/>
            <w:tcBorders>
              <w:top w:val="nil"/>
              <w:left w:val="nil"/>
              <w:bottom w:val="single" w:sz="4" w:space="0" w:color="auto"/>
              <w:right w:val="nil"/>
            </w:tcBorders>
            <w:shd w:val="clear" w:color="auto" w:fill="auto"/>
            <w:noWrap/>
            <w:vAlign w:val="bottom"/>
            <w:hideMark/>
          </w:tcPr>
          <w:p w14:paraId="77506325" w14:textId="77777777" w:rsidR="009F385B" w:rsidRPr="00EC690A" w:rsidRDefault="009F385B" w:rsidP="00CD3678">
            <w:pPr>
              <w:jc w:val="right"/>
              <w:rPr>
                <w:b/>
                <w:bCs/>
                <w:color w:val="000000"/>
                <w:sz w:val="18"/>
                <w:szCs w:val="18"/>
                <w:lang w:eastAsia="en-GB"/>
              </w:rPr>
            </w:pPr>
            <w:r w:rsidRPr="00EC690A">
              <w:rPr>
                <w:b/>
                <w:bCs/>
                <w:color w:val="000000"/>
                <w:sz w:val="18"/>
                <w:szCs w:val="18"/>
                <w:lang w:eastAsia="en-GB"/>
              </w:rPr>
              <w:t>Net</w:t>
            </w:r>
          </w:p>
        </w:tc>
      </w:tr>
      <w:tr w:rsidR="009F385B" w:rsidRPr="0091538C" w14:paraId="691EFEC9" w14:textId="77777777" w:rsidTr="00CD3678">
        <w:trPr>
          <w:trHeight w:val="300"/>
        </w:trPr>
        <w:tc>
          <w:tcPr>
            <w:tcW w:w="2655" w:type="pct"/>
            <w:tcBorders>
              <w:top w:val="nil"/>
              <w:left w:val="nil"/>
              <w:bottom w:val="nil"/>
              <w:right w:val="nil"/>
            </w:tcBorders>
            <w:shd w:val="clear" w:color="auto" w:fill="auto"/>
            <w:noWrap/>
            <w:vAlign w:val="bottom"/>
            <w:hideMark/>
          </w:tcPr>
          <w:p w14:paraId="14E6EF35" w14:textId="77777777" w:rsidR="009F385B" w:rsidRPr="00EC690A" w:rsidRDefault="009F385B" w:rsidP="00CD3678">
            <w:pPr>
              <w:spacing w:before="240"/>
              <w:rPr>
                <w:color w:val="000000"/>
                <w:sz w:val="18"/>
                <w:szCs w:val="18"/>
                <w:lang w:eastAsia="en-GB"/>
              </w:rPr>
            </w:pPr>
            <w:r w:rsidRPr="00EC690A">
              <w:rPr>
                <w:color w:val="000000"/>
                <w:sz w:val="18"/>
                <w:szCs w:val="18"/>
                <w:lang w:eastAsia="en-GB"/>
              </w:rPr>
              <w:t>Provision for unearned premiums as at 1 January</w:t>
            </w:r>
          </w:p>
        </w:tc>
        <w:tc>
          <w:tcPr>
            <w:tcW w:w="218" w:type="pct"/>
            <w:tcBorders>
              <w:top w:val="nil"/>
              <w:left w:val="nil"/>
              <w:bottom w:val="nil"/>
              <w:right w:val="nil"/>
            </w:tcBorders>
            <w:shd w:val="clear" w:color="auto" w:fill="auto"/>
            <w:noWrap/>
            <w:vAlign w:val="bottom"/>
            <w:hideMark/>
          </w:tcPr>
          <w:p w14:paraId="7A737F25" w14:textId="77777777" w:rsidR="009F385B" w:rsidRPr="00EC690A" w:rsidRDefault="009F385B"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3BE1A5CE" w14:textId="6B84188E" w:rsidR="009F385B" w:rsidRPr="00EC690A" w:rsidRDefault="009F385B" w:rsidP="00CD3678">
            <w:pPr>
              <w:jc w:val="right"/>
              <w:rPr>
                <w:color w:val="000000"/>
                <w:sz w:val="18"/>
                <w:szCs w:val="18"/>
                <w:lang w:eastAsia="en-GB"/>
              </w:rPr>
            </w:pPr>
            <w:r>
              <w:rPr>
                <w:color w:val="000000"/>
                <w:sz w:val="18"/>
                <w:szCs w:val="18"/>
                <w:lang w:eastAsia="en-GB"/>
              </w:rPr>
              <w:t>8,918,526</w:t>
            </w:r>
          </w:p>
        </w:tc>
        <w:tc>
          <w:tcPr>
            <w:tcW w:w="886" w:type="pct"/>
            <w:tcBorders>
              <w:top w:val="nil"/>
              <w:left w:val="nil"/>
              <w:bottom w:val="nil"/>
              <w:right w:val="nil"/>
            </w:tcBorders>
            <w:shd w:val="clear" w:color="auto" w:fill="auto"/>
            <w:noWrap/>
            <w:vAlign w:val="bottom"/>
          </w:tcPr>
          <w:p w14:paraId="5AA290F3" w14:textId="1A3EF15B" w:rsidR="009F385B" w:rsidRPr="00EC690A" w:rsidRDefault="009F385B" w:rsidP="00CD3678">
            <w:pPr>
              <w:jc w:val="right"/>
              <w:rPr>
                <w:color w:val="000000"/>
                <w:sz w:val="18"/>
                <w:szCs w:val="18"/>
                <w:lang w:eastAsia="en-GB"/>
              </w:rPr>
            </w:pPr>
            <w:r>
              <w:rPr>
                <w:color w:val="000000"/>
                <w:sz w:val="18"/>
                <w:szCs w:val="18"/>
                <w:lang w:eastAsia="en-GB"/>
              </w:rPr>
              <w:t>(722,467)</w:t>
            </w:r>
          </w:p>
        </w:tc>
        <w:tc>
          <w:tcPr>
            <w:tcW w:w="620" w:type="pct"/>
            <w:tcBorders>
              <w:top w:val="nil"/>
              <w:left w:val="nil"/>
              <w:bottom w:val="nil"/>
              <w:right w:val="nil"/>
            </w:tcBorders>
            <w:shd w:val="clear" w:color="auto" w:fill="auto"/>
            <w:noWrap/>
            <w:vAlign w:val="bottom"/>
          </w:tcPr>
          <w:p w14:paraId="299F8E33" w14:textId="7391C6FD" w:rsidR="009F385B" w:rsidRPr="00EC690A" w:rsidRDefault="009F385B" w:rsidP="00CD3678">
            <w:pPr>
              <w:jc w:val="right"/>
              <w:rPr>
                <w:color w:val="000000"/>
                <w:sz w:val="18"/>
                <w:szCs w:val="18"/>
                <w:lang w:eastAsia="en-GB"/>
              </w:rPr>
            </w:pPr>
            <w:r>
              <w:rPr>
                <w:color w:val="000000"/>
                <w:sz w:val="18"/>
                <w:szCs w:val="18"/>
                <w:lang w:eastAsia="en-GB"/>
              </w:rPr>
              <w:t>8,196,059</w:t>
            </w:r>
          </w:p>
        </w:tc>
      </w:tr>
      <w:tr w:rsidR="009F385B" w:rsidRPr="00EC690A" w14:paraId="35E638F1" w14:textId="77777777" w:rsidTr="00CD3678">
        <w:trPr>
          <w:trHeight w:val="300"/>
        </w:trPr>
        <w:tc>
          <w:tcPr>
            <w:tcW w:w="2655" w:type="pct"/>
            <w:tcBorders>
              <w:top w:val="nil"/>
              <w:left w:val="nil"/>
              <w:bottom w:val="nil"/>
              <w:right w:val="nil"/>
            </w:tcBorders>
            <w:shd w:val="clear" w:color="auto" w:fill="auto"/>
            <w:noWrap/>
            <w:vAlign w:val="bottom"/>
            <w:hideMark/>
          </w:tcPr>
          <w:p w14:paraId="65215110" w14:textId="77777777" w:rsidR="009F385B" w:rsidRPr="00EC690A" w:rsidRDefault="009F385B" w:rsidP="00CD3678">
            <w:pPr>
              <w:rPr>
                <w:color w:val="000000"/>
                <w:sz w:val="18"/>
                <w:szCs w:val="18"/>
                <w:lang w:eastAsia="en-GB"/>
              </w:rPr>
            </w:pPr>
            <w:r w:rsidRPr="00EC690A">
              <w:rPr>
                <w:color w:val="000000"/>
                <w:sz w:val="18"/>
                <w:szCs w:val="18"/>
                <w:lang w:eastAsia="en-GB"/>
              </w:rPr>
              <w:t>Change in provision for unearned premiums</w:t>
            </w:r>
          </w:p>
        </w:tc>
        <w:tc>
          <w:tcPr>
            <w:tcW w:w="218" w:type="pct"/>
            <w:tcBorders>
              <w:top w:val="nil"/>
              <w:left w:val="nil"/>
              <w:bottom w:val="nil"/>
              <w:right w:val="nil"/>
            </w:tcBorders>
            <w:shd w:val="clear" w:color="auto" w:fill="auto"/>
            <w:noWrap/>
            <w:vAlign w:val="bottom"/>
            <w:hideMark/>
          </w:tcPr>
          <w:p w14:paraId="4A2FD02B" w14:textId="77777777" w:rsidR="009F385B" w:rsidRPr="00EC690A" w:rsidRDefault="009F385B"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2751D70B" w14:textId="0513FDBE" w:rsidR="009F385B" w:rsidRPr="00EC690A" w:rsidRDefault="009F385B" w:rsidP="00CD3678">
            <w:pPr>
              <w:jc w:val="right"/>
              <w:rPr>
                <w:color w:val="000000"/>
                <w:sz w:val="18"/>
                <w:szCs w:val="18"/>
                <w:lang w:eastAsia="en-GB"/>
              </w:rPr>
            </w:pPr>
            <w:r>
              <w:rPr>
                <w:color w:val="000000"/>
                <w:sz w:val="18"/>
                <w:szCs w:val="18"/>
                <w:lang w:eastAsia="en-GB"/>
              </w:rPr>
              <w:t>(113,631)</w:t>
            </w:r>
          </w:p>
        </w:tc>
        <w:tc>
          <w:tcPr>
            <w:tcW w:w="886" w:type="pct"/>
            <w:tcBorders>
              <w:top w:val="nil"/>
              <w:left w:val="nil"/>
              <w:bottom w:val="nil"/>
              <w:right w:val="nil"/>
            </w:tcBorders>
            <w:shd w:val="clear" w:color="auto" w:fill="auto"/>
            <w:noWrap/>
            <w:vAlign w:val="bottom"/>
          </w:tcPr>
          <w:p w14:paraId="09B3772C" w14:textId="124F9479" w:rsidR="009F385B" w:rsidRPr="00EC690A" w:rsidRDefault="009F385B" w:rsidP="00CD3678">
            <w:pPr>
              <w:jc w:val="right"/>
              <w:rPr>
                <w:color w:val="000000"/>
                <w:sz w:val="18"/>
                <w:szCs w:val="18"/>
                <w:lang w:eastAsia="en-GB"/>
              </w:rPr>
            </w:pPr>
            <w:r>
              <w:rPr>
                <w:color w:val="000000"/>
                <w:sz w:val="18"/>
                <w:szCs w:val="18"/>
                <w:lang w:eastAsia="en-GB"/>
              </w:rPr>
              <w:t>13,990</w:t>
            </w:r>
          </w:p>
        </w:tc>
        <w:tc>
          <w:tcPr>
            <w:tcW w:w="620" w:type="pct"/>
            <w:tcBorders>
              <w:top w:val="nil"/>
              <w:left w:val="nil"/>
              <w:bottom w:val="nil"/>
              <w:right w:val="nil"/>
            </w:tcBorders>
            <w:shd w:val="clear" w:color="auto" w:fill="auto"/>
            <w:noWrap/>
            <w:vAlign w:val="bottom"/>
          </w:tcPr>
          <w:p w14:paraId="44EF92F9" w14:textId="18BB7A41" w:rsidR="009F385B" w:rsidRPr="00EC690A" w:rsidRDefault="00CD3678" w:rsidP="00CD3678">
            <w:pPr>
              <w:jc w:val="right"/>
              <w:rPr>
                <w:color w:val="000000"/>
                <w:sz w:val="18"/>
                <w:szCs w:val="18"/>
                <w:lang w:eastAsia="en-GB"/>
              </w:rPr>
            </w:pPr>
            <w:r>
              <w:rPr>
                <w:color w:val="000000"/>
                <w:sz w:val="18"/>
                <w:szCs w:val="18"/>
                <w:lang w:eastAsia="en-GB"/>
              </w:rPr>
              <w:t>(99,641)</w:t>
            </w:r>
          </w:p>
        </w:tc>
      </w:tr>
      <w:tr w:rsidR="009F385B" w:rsidRPr="00EC690A" w14:paraId="044E6D3F" w14:textId="77777777" w:rsidTr="00CD3678">
        <w:trPr>
          <w:trHeight w:val="315"/>
        </w:trPr>
        <w:tc>
          <w:tcPr>
            <w:tcW w:w="2655" w:type="pct"/>
            <w:tcBorders>
              <w:top w:val="single" w:sz="4" w:space="0" w:color="auto"/>
              <w:left w:val="nil"/>
              <w:bottom w:val="double" w:sz="6" w:space="0" w:color="auto"/>
              <w:right w:val="nil"/>
            </w:tcBorders>
            <w:shd w:val="clear" w:color="auto" w:fill="auto"/>
            <w:noWrap/>
            <w:vAlign w:val="bottom"/>
            <w:hideMark/>
          </w:tcPr>
          <w:p w14:paraId="5C235143" w14:textId="77777777" w:rsidR="009F385B" w:rsidRPr="00EC690A" w:rsidRDefault="009F385B" w:rsidP="00CD3678">
            <w:pPr>
              <w:rPr>
                <w:b/>
                <w:bCs/>
                <w:color w:val="000000"/>
                <w:sz w:val="18"/>
                <w:szCs w:val="18"/>
                <w:lang w:eastAsia="en-GB"/>
              </w:rPr>
            </w:pPr>
            <w:r w:rsidRPr="00EC690A">
              <w:rPr>
                <w:b/>
                <w:bCs/>
                <w:color w:val="000000"/>
                <w:sz w:val="18"/>
                <w:szCs w:val="18"/>
                <w:lang w:eastAsia="en-GB"/>
              </w:rPr>
              <w:t>Provision for unearned premiums as at 31 December</w:t>
            </w:r>
          </w:p>
        </w:tc>
        <w:tc>
          <w:tcPr>
            <w:tcW w:w="218" w:type="pct"/>
            <w:tcBorders>
              <w:top w:val="single" w:sz="4" w:space="0" w:color="auto"/>
              <w:left w:val="nil"/>
              <w:bottom w:val="double" w:sz="6" w:space="0" w:color="auto"/>
              <w:right w:val="nil"/>
            </w:tcBorders>
            <w:shd w:val="clear" w:color="auto" w:fill="auto"/>
            <w:noWrap/>
            <w:vAlign w:val="bottom"/>
            <w:hideMark/>
          </w:tcPr>
          <w:p w14:paraId="51F15DC4" w14:textId="77777777" w:rsidR="009F385B" w:rsidRPr="00EC690A" w:rsidRDefault="009F385B"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single" w:sz="4" w:space="0" w:color="auto"/>
              <w:left w:val="nil"/>
              <w:bottom w:val="double" w:sz="6" w:space="0" w:color="auto"/>
              <w:right w:val="nil"/>
            </w:tcBorders>
            <w:shd w:val="clear" w:color="auto" w:fill="auto"/>
            <w:noWrap/>
            <w:vAlign w:val="bottom"/>
          </w:tcPr>
          <w:p w14:paraId="33A70DA8" w14:textId="134DA41E" w:rsidR="009F385B" w:rsidRPr="00EC690A" w:rsidRDefault="00CD3678" w:rsidP="00CD3678">
            <w:pPr>
              <w:jc w:val="right"/>
              <w:rPr>
                <w:b/>
                <w:bCs/>
                <w:color w:val="000000"/>
                <w:sz w:val="18"/>
                <w:szCs w:val="18"/>
                <w:lang w:eastAsia="en-GB"/>
              </w:rPr>
            </w:pPr>
            <w:r>
              <w:rPr>
                <w:b/>
                <w:bCs/>
                <w:color w:val="000000"/>
                <w:sz w:val="18"/>
                <w:szCs w:val="18"/>
                <w:lang w:eastAsia="en-GB"/>
              </w:rPr>
              <w:t>8,804,895</w:t>
            </w:r>
          </w:p>
        </w:tc>
        <w:tc>
          <w:tcPr>
            <w:tcW w:w="886" w:type="pct"/>
            <w:tcBorders>
              <w:top w:val="single" w:sz="4" w:space="0" w:color="auto"/>
              <w:left w:val="nil"/>
              <w:bottom w:val="double" w:sz="6" w:space="0" w:color="auto"/>
              <w:right w:val="nil"/>
            </w:tcBorders>
            <w:shd w:val="clear" w:color="auto" w:fill="auto"/>
            <w:noWrap/>
            <w:vAlign w:val="bottom"/>
          </w:tcPr>
          <w:p w14:paraId="2AC3BDA0" w14:textId="42DDD39D" w:rsidR="009F385B" w:rsidRPr="00EC690A" w:rsidRDefault="00CD3678" w:rsidP="00CD3678">
            <w:pPr>
              <w:jc w:val="right"/>
              <w:rPr>
                <w:b/>
                <w:bCs/>
                <w:color w:val="000000"/>
                <w:sz w:val="18"/>
                <w:szCs w:val="18"/>
                <w:lang w:eastAsia="en-GB"/>
              </w:rPr>
            </w:pPr>
            <w:r>
              <w:rPr>
                <w:b/>
                <w:bCs/>
                <w:color w:val="000000"/>
                <w:sz w:val="18"/>
                <w:szCs w:val="18"/>
                <w:lang w:eastAsia="en-GB"/>
              </w:rPr>
              <w:t>(708,477)</w:t>
            </w:r>
          </w:p>
        </w:tc>
        <w:tc>
          <w:tcPr>
            <w:tcW w:w="620" w:type="pct"/>
            <w:tcBorders>
              <w:top w:val="single" w:sz="4" w:space="0" w:color="auto"/>
              <w:left w:val="nil"/>
              <w:bottom w:val="double" w:sz="6" w:space="0" w:color="auto"/>
              <w:right w:val="nil"/>
            </w:tcBorders>
            <w:shd w:val="clear" w:color="auto" w:fill="auto"/>
            <w:noWrap/>
            <w:vAlign w:val="bottom"/>
          </w:tcPr>
          <w:p w14:paraId="324E6391" w14:textId="105C5A2A" w:rsidR="009F385B" w:rsidRPr="00EC690A" w:rsidRDefault="00CD3678" w:rsidP="00CD3678">
            <w:pPr>
              <w:jc w:val="right"/>
              <w:rPr>
                <w:b/>
                <w:bCs/>
                <w:color w:val="000000"/>
                <w:sz w:val="18"/>
                <w:szCs w:val="18"/>
                <w:lang w:eastAsia="en-GB"/>
              </w:rPr>
            </w:pPr>
            <w:r>
              <w:rPr>
                <w:b/>
                <w:bCs/>
                <w:color w:val="000000"/>
                <w:sz w:val="18"/>
                <w:szCs w:val="18"/>
                <w:lang w:eastAsia="en-GB"/>
              </w:rPr>
              <w:t>8,096,418</w:t>
            </w:r>
          </w:p>
        </w:tc>
      </w:tr>
    </w:tbl>
    <w:p w14:paraId="7B1AD34D" w14:textId="41FBC052" w:rsidR="0028128D" w:rsidRDefault="0028128D" w:rsidP="00D20412">
      <w:pPr>
        <w:spacing w:before="120" w:after="120"/>
        <w:rPr>
          <w:b/>
          <w:bCs/>
          <w:sz w:val="18"/>
          <w:szCs w:val="18"/>
        </w:rPr>
      </w:pPr>
    </w:p>
    <w:p w14:paraId="213507F2" w14:textId="4EABECE1" w:rsidR="00CD3678" w:rsidRDefault="00CD3678" w:rsidP="00065112">
      <w:pPr>
        <w:pStyle w:val="ListParagraph"/>
        <w:numPr>
          <w:ilvl w:val="0"/>
          <w:numId w:val="1"/>
        </w:numPr>
        <w:spacing w:before="240" w:after="120"/>
        <w:ind w:left="357" w:hanging="357"/>
        <w:contextualSpacing w:val="0"/>
        <w:outlineLvl w:val="0"/>
        <w:rPr>
          <w:b/>
          <w:bCs/>
          <w:sz w:val="18"/>
          <w:szCs w:val="18"/>
        </w:rPr>
      </w:pPr>
      <w:bookmarkStart w:id="59" w:name="_Toc57894903"/>
      <w:r>
        <w:rPr>
          <w:b/>
          <w:bCs/>
          <w:sz w:val="18"/>
          <w:szCs w:val="18"/>
        </w:rPr>
        <w:lastRenderedPageBreak/>
        <w:t>Provision for claims</w:t>
      </w:r>
      <w:bookmarkEnd w:id="59"/>
    </w:p>
    <w:p w14:paraId="34AB5944" w14:textId="278A1CA2" w:rsidR="00CD3678" w:rsidRPr="00CD3678" w:rsidRDefault="00CD3678" w:rsidP="00CD3678">
      <w:pPr>
        <w:rPr>
          <w:sz w:val="18"/>
          <w:szCs w:val="18"/>
          <w:lang w:val="en-US"/>
        </w:rPr>
      </w:pPr>
      <w:r w:rsidRPr="00CD3678">
        <w:rPr>
          <w:sz w:val="18"/>
          <w:szCs w:val="18"/>
          <w:lang w:val="en-US"/>
        </w:rPr>
        <w:t>Below is the analysis of provision for claims for the year ended 31 December 2019:</w:t>
      </w:r>
    </w:p>
    <w:tbl>
      <w:tblPr>
        <w:tblW w:w="5000" w:type="pct"/>
        <w:tblLook w:val="04A0" w:firstRow="1" w:lastRow="0" w:firstColumn="1" w:lastColumn="0" w:noHBand="0" w:noVBand="1"/>
      </w:tblPr>
      <w:tblGrid>
        <w:gridCol w:w="4655"/>
        <w:gridCol w:w="278"/>
        <w:gridCol w:w="1087"/>
        <w:gridCol w:w="1553"/>
        <w:gridCol w:w="1192"/>
      </w:tblGrid>
      <w:tr w:rsidR="00CD3678" w:rsidRPr="0091538C" w14:paraId="77F9C8C2" w14:textId="77777777" w:rsidTr="00CD3678">
        <w:trPr>
          <w:trHeight w:val="300"/>
        </w:trPr>
        <w:tc>
          <w:tcPr>
            <w:tcW w:w="2656" w:type="pct"/>
            <w:tcBorders>
              <w:top w:val="nil"/>
              <w:left w:val="nil"/>
              <w:bottom w:val="nil"/>
              <w:right w:val="nil"/>
            </w:tcBorders>
            <w:shd w:val="clear" w:color="auto" w:fill="auto"/>
            <w:noWrap/>
            <w:vAlign w:val="bottom"/>
            <w:hideMark/>
          </w:tcPr>
          <w:p w14:paraId="6AEB4151" w14:textId="77777777" w:rsidR="00CD3678" w:rsidRPr="00EC690A" w:rsidRDefault="00CD3678" w:rsidP="00CD3678">
            <w:pPr>
              <w:rPr>
                <w:color w:val="000000"/>
                <w:sz w:val="18"/>
                <w:szCs w:val="18"/>
                <w:lang w:eastAsia="en-GB"/>
              </w:rPr>
            </w:pPr>
          </w:p>
        </w:tc>
        <w:tc>
          <w:tcPr>
            <w:tcW w:w="218" w:type="pct"/>
            <w:tcBorders>
              <w:top w:val="nil"/>
              <w:left w:val="nil"/>
              <w:bottom w:val="nil"/>
              <w:right w:val="nil"/>
            </w:tcBorders>
            <w:shd w:val="clear" w:color="auto" w:fill="auto"/>
            <w:noWrap/>
            <w:vAlign w:val="bottom"/>
            <w:hideMark/>
          </w:tcPr>
          <w:p w14:paraId="5E35ABCC" w14:textId="77777777" w:rsidR="00CD3678" w:rsidRPr="00EC690A" w:rsidRDefault="00CD3678" w:rsidP="00CD3678">
            <w:pPr>
              <w:rPr>
                <w:color w:val="000000"/>
                <w:sz w:val="18"/>
                <w:szCs w:val="18"/>
                <w:lang w:eastAsia="en-GB"/>
              </w:rPr>
            </w:pPr>
          </w:p>
        </w:tc>
        <w:tc>
          <w:tcPr>
            <w:tcW w:w="620" w:type="pct"/>
            <w:tcBorders>
              <w:top w:val="nil"/>
              <w:left w:val="nil"/>
              <w:bottom w:val="single" w:sz="4" w:space="0" w:color="auto"/>
              <w:right w:val="nil"/>
            </w:tcBorders>
            <w:shd w:val="clear" w:color="auto" w:fill="auto"/>
            <w:noWrap/>
            <w:vAlign w:val="bottom"/>
            <w:hideMark/>
          </w:tcPr>
          <w:p w14:paraId="4C0C9630" w14:textId="77777777" w:rsidR="00CD3678" w:rsidRPr="00EC690A" w:rsidRDefault="00CD3678" w:rsidP="00CD3678">
            <w:pPr>
              <w:rPr>
                <w:color w:val="000000"/>
                <w:sz w:val="18"/>
                <w:szCs w:val="18"/>
                <w:lang w:eastAsia="en-GB"/>
              </w:rPr>
            </w:pPr>
            <w:r w:rsidRPr="00EC690A">
              <w:rPr>
                <w:color w:val="000000"/>
                <w:sz w:val="18"/>
                <w:szCs w:val="18"/>
                <w:lang w:eastAsia="en-GB"/>
              </w:rPr>
              <w:t> </w:t>
            </w:r>
          </w:p>
        </w:tc>
        <w:tc>
          <w:tcPr>
            <w:tcW w:w="886" w:type="pct"/>
            <w:tcBorders>
              <w:top w:val="nil"/>
              <w:left w:val="nil"/>
              <w:bottom w:val="single" w:sz="4" w:space="0" w:color="auto"/>
              <w:right w:val="nil"/>
            </w:tcBorders>
            <w:shd w:val="clear" w:color="auto" w:fill="auto"/>
            <w:noWrap/>
            <w:vAlign w:val="bottom"/>
            <w:hideMark/>
          </w:tcPr>
          <w:p w14:paraId="19EA8A8E" w14:textId="77777777" w:rsidR="00CD3678" w:rsidRPr="00EC690A" w:rsidRDefault="00CD3678" w:rsidP="00CD3678">
            <w:pPr>
              <w:rPr>
                <w:color w:val="000000"/>
                <w:sz w:val="18"/>
                <w:szCs w:val="18"/>
                <w:lang w:eastAsia="en-GB"/>
              </w:rPr>
            </w:pPr>
            <w:r w:rsidRPr="00EC690A">
              <w:rPr>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55D21844" w14:textId="3AEF6598" w:rsidR="00CD3678" w:rsidRPr="00EC690A" w:rsidRDefault="00703807" w:rsidP="00CD3678">
            <w:pPr>
              <w:jc w:val="right"/>
              <w:rPr>
                <w:b/>
                <w:bCs/>
                <w:color w:val="000000"/>
                <w:sz w:val="18"/>
                <w:szCs w:val="18"/>
                <w:lang w:eastAsia="en-GB"/>
              </w:rPr>
            </w:pPr>
            <w:r>
              <w:rPr>
                <w:b/>
                <w:bCs/>
                <w:color w:val="000000"/>
                <w:sz w:val="18"/>
                <w:szCs w:val="18"/>
                <w:lang w:eastAsia="en-GB"/>
              </w:rPr>
              <w:t>31.12.</w:t>
            </w:r>
            <w:r w:rsidR="00CD3678" w:rsidRPr="00EC690A">
              <w:rPr>
                <w:b/>
                <w:bCs/>
                <w:color w:val="000000"/>
                <w:sz w:val="18"/>
                <w:szCs w:val="18"/>
                <w:lang w:eastAsia="en-GB"/>
              </w:rPr>
              <w:t>201</w:t>
            </w:r>
            <w:r w:rsidR="00CD3678">
              <w:rPr>
                <w:b/>
                <w:bCs/>
                <w:color w:val="000000"/>
                <w:sz w:val="18"/>
                <w:szCs w:val="18"/>
                <w:lang w:eastAsia="en-GB"/>
              </w:rPr>
              <w:t>9</w:t>
            </w:r>
          </w:p>
        </w:tc>
      </w:tr>
      <w:tr w:rsidR="00CD3678" w:rsidRPr="0091538C" w14:paraId="15DA1C03" w14:textId="77777777" w:rsidTr="00CD3678">
        <w:trPr>
          <w:trHeight w:val="300"/>
        </w:trPr>
        <w:tc>
          <w:tcPr>
            <w:tcW w:w="2656" w:type="pct"/>
            <w:tcBorders>
              <w:top w:val="nil"/>
              <w:left w:val="nil"/>
              <w:bottom w:val="single" w:sz="4" w:space="0" w:color="auto"/>
              <w:right w:val="nil"/>
            </w:tcBorders>
            <w:shd w:val="clear" w:color="auto" w:fill="auto"/>
            <w:noWrap/>
            <w:vAlign w:val="bottom"/>
            <w:hideMark/>
          </w:tcPr>
          <w:p w14:paraId="4497B56F" w14:textId="77777777" w:rsidR="00CD3678" w:rsidRPr="00EC690A" w:rsidRDefault="00CD3678" w:rsidP="00CD3678">
            <w:pPr>
              <w:rPr>
                <w:b/>
                <w:bCs/>
                <w:color w:val="000000"/>
                <w:sz w:val="18"/>
                <w:szCs w:val="18"/>
                <w:lang w:eastAsia="en-GB"/>
              </w:rPr>
            </w:pPr>
            <w:r w:rsidRPr="00EC690A">
              <w:rPr>
                <w:b/>
                <w:bCs/>
                <w:color w:val="000000"/>
                <w:sz w:val="18"/>
                <w:szCs w:val="18"/>
                <w:lang w:eastAsia="en-GB"/>
              </w:rPr>
              <w:t> </w:t>
            </w:r>
          </w:p>
        </w:tc>
        <w:tc>
          <w:tcPr>
            <w:tcW w:w="218" w:type="pct"/>
            <w:tcBorders>
              <w:top w:val="nil"/>
              <w:left w:val="nil"/>
              <w:bottom w:val="single" w:sz="4" w:space="0" w:color="auto"/>
              <w:right w:val="nil"/>
            </w:tcBorders>
            <w:shd w:val="clear" w:color="auto" w:fill="auto"/>
            <w:noWrap/>
            <w:vAlign w:val="bottom"/>
            <w:hideMark/>
          </w:tcPr>
          <w:p w14:paraId="0B184004" w14:textId="77777777" w:rsidR="00CD3678" w:rsidRPr="00EC690A" w:rsidRDefault="00CD3678"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3C5C8104" w14:textId="77777777" w:rsidR="00CD3678" w:rsidRPr="00EC690A" w:rsidRDefault="00CD3678" w:rsidP="00CD3678">
            <w:pPr>
              <w:jc w:val="right"/>
              <w:rPr>
                <w:b/>
                <w:bCs/>
                <w:color w:val="000000"/>
                <w:sz w:val="18"/>
                <w:szCs w:val="18"/>
                <w:lang w:eastAsia="en-GB"/>
              </w:rPr>
            </w:pPr>
            <w:r w:rsidRPr="00EC690A">
              <w:rPr>
                <w:b/>
                <w:bCs/>
                <w:color w:val="000000"/>
                <w:sz w:val="18"/>
                <w:szCs w:val="18"/>
                <w:lang w:eastAsia="en-GB"/>
              </w:rPr>
              <w:t>Gross</w:t>
            </w:r>
          </w:p>
        </w:tc>
        <w:tc>
          <w:tcPr>
            <w:tcW w:w="886" w:type="pct"/>
            <w:tcBorders>
              <w:top w:val="nil"/>
              <w:left w:val="nil"/>
              <w:bottom w:val="single" w:sz="4" w:space="0" w:color="auto"/>
              <w:right w:val="nil"/>
            </w:tcBorders>
            <w:shd w:val="clear" w:color="auto" w:fill="auto"/>
            <w:noWrap/>
            <w:vAlign w:val="bottom"/>
            <w:hideMark/>
          </w:tcPr>
          <w:p w14:paraId="43CE4CB2" w14:textId="77777777" w:rsidR="00CD3678" w:rsidRPr="00EC690A" w:rsidRDefault="00CD3678" w:rsidP="00CD3678">
            <w:pPr>
              <w:jc w:val="right"/>
              <w:rPr>
                <w:b/>
                <w:bCs/>
                <w:color w:val="000000"/>
                <w:sz w:val="18"/>
                <w:szCs w:val="18"/>
                <w:lang w:eastAsia="en-GB"/>
              </w:rPr>
            </w:pPr>
            <w:r w:rsidRPr="00EC690A">
              <w:rPr>
                <w:b/>
                <w:bCs/>
                <w:color w:val="000000"/>
                <w:sz w:val="18"/>
                <w:szCs w:val="18"/>
                <w:lang w:eastAsia="en-GB"/>
              </w:rPr>
              <w:t>Reinsurer's part</w:t>
            </w:r>
          </w:p>
        </w:tc>
        <w:tc>
          <w:tcPr>
            <w:tcW w:w="620" w:type="pct"/>
            <w:tcBorders>
              <w:top w:val="nil"/>
              <w:left w:val="nil"/>
              <w:bottom w:val="single" w:sz="4" w:space="0" w:color="auto"/>
              <w:right w:val="nil"/>
            </w:tcBorders>
            <w:shd w:val="clear" w:color="auto" w:fill="auto"/>
            <w:noWrap/>
            <w:vAlign w:val="bottom"/>
            <w:hideMark/>
          </w:tcPr>
          <w:p w14:paraId="5C612520" w14:textId="77777777" w:rsidR="00CD3678" w:rsidRPr="00EC690A" w:rsidRDefault="00CD3678" w:rsidP="00CD3678">
            <w:pPr>
              <w:jc w:val="right"/>
              <w:rPr>
                <w:b/>
                <w:bCs/>
                <w:color w:val="000000"/>
                <w:sz w:val="18"/>
                <w:szCs w:val="18"/>
                <w:lang w:eastAsia="en-GB"/>
              </w:rPr>
            </w:pPr>
            <w:r w:rsidRPr="00EC690A">
              <w:rPr>
                <w:b/>
                <w:bCs/>
                <w:color w:val="000000"/>
                <w:sz w:val="18"/>
                <w:szCs w:val="18"/>
                <w:lang w:eastAsia="en-GB"/>
              </w:rPr>
              <w:t>Net</w:t>
            </w:r>
          </w:p>
        </w:tc>
      </w:tr>
      <w:tr w:rsidR="00CD3678" w:rsidRPr="0091538C" w14:paraId="05C52F65" w14:textId="77777777" w:rsidTr="00CD3678">
        <w:trPr>
          <w:trHeight w:val="300"/>
        </w:trPr>
        <w:tc>
          <w:tcPr>
            <w:tcW w:w="2656" w:type="pct"/>
            <w:tcBorders>
              <w:top w:val="nil"/>
              <w:left w:val="nil"/>
              <w:bottom w:val="nil"/>
              <w:right w:val="nil"/>
            </w:tcBorders>
            <w:shd w:val="clear" w:color="auto" w:fill="auto"/>
            <w:noWrap/>
            <w:vAlign w:val="bottom"/>
            <w:hideMark/>
          </w:tcPr>
          <w:p w14:paraId="6B715B54" w14:textId="77777777" w:rsidR="00CD3678" w:rsidRPr="00EC690A" w:rsidRDefault="00CD3678" w:rsidP="00CD3678">
            <w:pPr>
              <w:spacing w:before="240"/>
              <w:rPr>
                <w:color w:val="000000"/>
                <w:sz w:val="18"/>
                <w:szCs w:val="18"/>
                <w:lang w:eastAsia="en-GB"/>
              </w:rPr>
            </w:pPr>
            <w:r w:rsidRPr="00EC690A">
              <w:rPr>
                <w:color w:val="000000"/>
                <w:sz w:val="18"/>
                <w:szCs w:val="18"/>
                <w:lang w:eastAsia="en-GB"/>
              </w:rPr>
              <w:t>Provision for unearned premiums as at 1 January</w:t>
            </w:r>
          </w:p>
        </w:tc>
        <w:tc>
          <w:tcPr>
            <w:tcW w:w="218" w:type="pct"/>
            <w:tcBorders>
              <w:top w:val="nil"/>
              <w:left w:val="nil"/>
              <w:bottom w:val="nil"/>
              <w:right w:val="nil"/>
            </w:tcBorders>
            <w:shd w:val="clear" w:color="auto" w:fill="auto"/>
            <w:noWrap/>
            <w:vAlign w:val="bottom"/>
            <w:hideMark/>
          </w:tcPr>
          <w:p w14:paraId="76C9A737" w14:textId="77777777" w:rsidR="00CD3678" w:rsidRPr="00EC690A" w:rsidRDefault="00CD3678"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3120D301" w14:textId="61C04B60" w:rsidR="00CD3678" w:rsidRPr="00EC690A" w:rsidRDefault="00CD3678" w:rsidP="00CD3678">
            <w:pPr>
              <w:jc w:val="right"/>
              <w:rPr>
                <w:color w:val="000000"/>
                <w:sz w:val="18"/>
                <w:szCs w:val="18"/>
                <w:lang w:eastAsia="en-GB"/>
              </w:rPr>
            </w:pPr>
            <w:r>
              <w:rPr>
                <w:color w:val="000000"/>
                <w:sz w:val="18"/>
                <w:szCs w:val="18"/>
                <w:lang w:eastAsia="en-GB"/>
              </w:rPr>
              <w:t>1,158,486</w:t>
            </w:r>
          </w:p>
        </w:tc>
        <w:tc>
          <w:tcPr>
            <w:tcW w:w="886" w:type="pct"/>
            <w:tcBorders>
              <w:top w:val="nil"/>
              <w:left w:val="nil"/>
              <w:bottom w:val="nil"/>
              <w:right w:val="nil"/>
            </w:tcBorders>
            <w:shd w:val="clear" w:color="auto" w:fill="auto"/>
            <w:noWrap/>
            <w:vAlign w:val="bottom"/>
          </w:tcPr>
          <w:p w14:paraId="534BA81A" w14:textId="53A0ACFA" w:rsidR="00CD3678" w:rsidRPr="00EC690A" w:rsidRDefault="00CD3678" w:rsidP="00CD3678">
            <w:pPr>
              <w:jc w:val="right"/>
              <w:rPr>
                <w:color w:val="000000"/>
                <w:sz w:val="18"/>
                <w:szCs w:val="18"/>
                <w:lang w:eastAsia="en-GB"/>
              </w:rPr>
            </w:pPr>
            <w:r>
              <w:rPr>
                <w:color w:val="000000"/>
                <w:sz w:val="18"/>
                <w:szCs w:val="18"/>
                <w:lang w:eastAsia="en-GB"/>
              </w:rPr>
              <w:t>(325,495)</w:t>
            </w:r>
          </w:p>
        </w:tc>
        <w:tc>
          <w:tcPr>
            <w:tcW w:w="620" w:type="pct"/>
            <w:tcBorders>
              <w:top w:val="nil"/>
              <w:left w:val="nil"/>
              <w:bottom w:val="nil"/>
              <w:right w:val="nil"/>
            </w:tcBorders>
            <w:shd w:val="clear" w:color="auto" w:fill="auto"/>
            <w:noWrap/>
            <w:vAlign w:val="bottom"/>
          </w:tcPr>
          <w:p w14:paraId="187CC603" w14:textId="6B4ECB2C" w:rsidR="00CD3678" w:rsidRPr="00EC690A" w:rsidRDefault="00CD3678" w:rsidP="00CD3678">
            <w:pPr>
              <w:jc w:val="right"/>
              <w:rPr>
                <w:color w:val="000000"/>
                <w:sz w:val="18"/>
                <w:szCs w:val="18"/>
                <w:lang w:eastAsia="en-GB"/>
              </w:rPr>
            </w:pPr>
            <w:r>
              <w:rPr>
                <w:color w:val="000000"/>
                <w:sz w:val="18"/>
                <w:szCs w:val="18"/>
                <w:lang w:eastAsia="en-GB"/>
              </w:rPr>
              <w:t>832,991</w:t>
            </w:r>
          </w:p>
        </w:tc>
      </w:tr>
      <w:tr w:rsidR="00CD3678" w:rsidRPr="00EC690A" w14:paraId="3A6DE1E8" w14:textId="77777777" w:rsidTr="00CD3678">
        <w:trPr>
          <w:trHeight w:val="300"/>
        </w:trPr>
        <w:tc>
          <w:tcPr>
            <w:tcW w:w="2656" w:type="pct"/>
            <w:tcBorders>
              <w:top w:val="nil"/>
              <w:left w:val="nil"/>
              <w:bottom w:val="nil"/>
              <w:right w:val="nil"/>
            </w:tcBorders>
            <w:shd w:val="clear" w:color="auto" w:fill="auto"/>
            <w:noWrap/>
            <w:vAlign w:val="bottom"/>
            <w:hideMark/>
          </w:tcPr>
          <w:p w14:paraId="78B7E20C" w14:textId="77777777" w:rsidR="00CD3678" w:rsidRPr="00EC690A" w:rsidRDefault="00CD3678" w:rsidP="00CD3678">
            <w:pPr>
              <w:rPr>
                <w:color w:val="000000"/>
                <w:sz w:val="18"/>
                <w:szCs w:val="18"/>
                <w:lang w:eastAsia="en-GB"/>
              </w:rPr>
            </w:pPr>
            <w:r w:rsidRPr="00EC690A">
              <w:rPr>
                <w:color w:val="000000"/>
                <w:sz w:val="18"/>
                <w:szCs w:val="18"/>
                <w:lang w:eastAsia="en-GB"/>
              </w:rPr>
              <w:t>Change in provision for unearned premiums</w:t>
            </w:r>
          </w:p>
        </w:tc>
        <w:tc>
          <w:tcPr>
            <w:tcW w:w="218" w:type="pct"/>
            <w:tcBorders>
              <w:top w:val="nil"/>
              <w:left w:val="nil"/>
              <w:bottom w:val="nil"/>
              <w:right w:val="nil"/>
            </w:tcBorders>
            <w:shd w:val="clear" w:color="auto" w:fill="auto"/>
            <w:noWrap/>
            <w:vAlign w:val="bottom"/>
            <w:hideMark/>
          </w:tcPr>
          <w:p w14:paraId="4167D494" w14:textId="77777777" w:rsidR="00CD3678" w:rsidRPr="00EC690A" w:rsidRDefault="00CD3678"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47531319" w14:textId="7A355F84" w:rsidR="00CD3678" w:rsidRPr="00EC690A" w:rsidRDefault="00C41301" w:rsidP="00CD3678">
            <w:pPr>
              <w:jc w:val="right"/>
              <w:rPr>
                <w:color w:val="000000"/>
                <w:sz w:val="18"/>
                <w:szCs w:val="18"/>
                <w:lang w:eastAsia="en-GB"/>
              </w:rPr>
            </w:pPr>
            <w:r>
              <w:rPr>
                <w:color w:val="000000"/>
                <w:sz w:val="18"/>
                <w:szCs w:val="18"/>
                <w:lang w:eastAsia="en-GB"/>
              </w:rPr>
              <w:t>368,158</w:t>
            </w:r>
          </w:p>
        </w:tc>
        <w:tc>
          <w:tcPr>
            <w:tcW w:w="886" w:type="pct"/>
            <w:tcBorders>
              <w:top w:val="nil"/>
              <w:left w:val="nil"/>
              <w:bottom w:val="nil"/>
              <w:right w:val="nil"/>
            </w:tcBorders>
            <w:shd w:val="clear" w:color="auto" w:fill="auto"/>
            <w:noWrap/>
            <w:vAlign w:val="bottom"/>
          </w:tcPr>
          <w:p w14:paraId="59107E0C" w14:textId="7AC1F5A9" w:rsidR="00CD3678" w:rsidRPr="00EC690A" w:rsidRDefault="00C41301" w:rsidP="00CD3678">
            <w:pPr>
              <w:jc w:val="right"/>
              <w:rPr>
                <w:color w:val="000000"/>
                <w:sz w:val="18"/>
                <w:szCs w:val="18"/>
                <w:lang w:eastAsia="en-GB"/>
              </w:rPr>
            </w:pPr>
            <w:r>
              <w:rPr>
                <w:color w:val="000000"/>
                <w:sz w:val="18"/>
                <w:szCs w:val="18"/>
                <w:lang w:eastAsia="en-GB"/>
              </w:rPr>
              <w:t>(81,505)</w:t>
            </w:r>
          </w:p>
        </w:tc>
        <w:tc>
          <w:tcPr>
            <w:tcW w:w="620" w:type="pct"/>
            <w:tcBorders>
              <w:top w:val="nil"/>
              <w:left w:val="nil"/>
              <w:bottom w:val="nil"/>
              <w:right w:val="nil"/>
            </w:tcBorders>
            <w:shd w:val="clear" w:color="auto" w:fill="auto"/>
            <w:noWrap/>
            <w:vAlign w:val="bottom"/>
          </w:tcPr>
          <w:p w14:paraId="68C075A3" w14:textId="0B200142" w:rsidR="00CD3678" w:rsidRPr="00C41301" w:rsidRDefault="00C41301" w:rsidP="00CD3678">
            <w:pPr>
              <w:jc w:val="right"/>
              <w:rPr>
                <w:color w:val="000000"/>
                <w:sz w:val="18"/>
                <w:szCs w:val="18"/>
                <w:lang w:val="ru-RU" w:eastAsia="en-GB"/>
              </w:rPr>
            </w:pPr>
            <w:r>
              <w:rPr>
                <w:color w:val="000000"/>
                <w:sz w:val="18"/>
                <w:szCs w:val="18"/>
                <w:lang w:eastAsia="en-GB"/>
              </w:rPr>
              <w:t>286,653</w:t>
            </w:r>
          </w:p>
        </w:tc>
      </w:tr>
      <w:tr w:rsidR="00CD3678" w:rsidRPr="00EC690A" w14:paraId="0953E6E7" w14:textId="77777777" w:rsidTr="00CD3678">
        <w:trPr>
          <w:trHeight w:val="315"/>
        </w:trPr>
        <w:tc>
          <w:tcPr>
            <w:tcW w:w="2656" w:type="pct"/>
            <w:tcBorders>
              <w:top w:val="single" w:sz="4" w:space="0" w:color="auto"/>
              <w:left w:val="nil"/>
              <w:bottom w:val="double" w:sz="6" w:space="0" w:color="auto"/>
              <w:right w:val="nil"/>
            </w:tcBorders>
            <w:shd w:val="clear" w:color="auto" w:fill="auto"/>
            <w:noWrap/>
            <w:vAlign w:val="bottom"/>
            <w:hideMark/>
          </w:tcPr>
          <w:p w14:paraId="24804624" w14:textId="77777777" w:rsidR="00CD3678" w:rsidRPr="00EC690A" w:rsidRDefault="00CD3678" w:rsidP="00CD3678">
            <w:pPr>
              <w:rPr>
                <w:b/>
                <w:bCs/>
                <w:color w:val="000000"/>
                <w:sz w:val="18"/>
                <w:szCs w:val="18"/>
                <w:lang w:eastAsia="en-GB"/>
              </w:rPr>
            </w:pPr>
            <w:r w:rsidRPr="00EC690A">
              <w:rPr>
                <w:b/>
                <w:bCs/>
                <w:color w:val="000000"/>
                <w:sz w:val="18"/>
                <w:szCs w:val="18"/>
                <w:lang w:eastAsia="en-GB"/>
              </w:rPr>
              <w:t>Provision for unearned premiums as at 31 December</w:t>
            </w:r>
          </w:p>
        </w:tc>
        <w:tc>
          <w:tcPr>
            <w:tcW w:w="218" w:type="pct"/>
            <w:tcBorders>
              <w:top w:val="single" w:sz="4" w:space="0" w:color="auto"/>
              <w:left w:val="nil"/>
              <w:bottom w:val="double" w:sz="6" w:space="0" w:color="auto"/>
              <w:right w:val="nil"/>
            </w:tcBorders>
            <w:shd w:val="clear" w:color="auto" w:fill="auto"/>
            <w:noWrap/>
            <w:vAlign w:val="bottom"/>
            <w:hideMark/>
          </w:tcPr>
          <w:p w14:paraId="680FAA25" w14:textId="77777777" w:rsidR="00CD3678" w:rsidRPr="00EC690A" w:rsidRDefault="00CD3678"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single" w:sz="4" w:space="0" w:color="auto"/>
              <w:left w:val="nil"/>
              <w:bottom w:val="double" w:sz="6" w:space="0" w:color="auto"/>
              <w:right w:val="nil"/>
            </w:tcBorders>
            <w:shd w:val="clear" w:color="auto" w:fill="auto"/>
            <w:noWrap/>
            <w:vAlign w:val="bottom"/>
          </w:tcPr>
          <w:p w14:paraId="3BFF29D4" w14:textId="3B891685" w:rsidR="00CD3678" w:rsidRPr="00EC690A" w:rsidRDefault="00203AE1" w:rsidP="00CD3678">
            <w:pPr>
              <w:jc w:val="right"/>
              <w:rPr>
                <w:b/>
                <w:bCs/>
                <w:color w:val="000000"/>
                <w:sz w:val="18"/>
                <w:szCs w:val="18"/>
                <w:lang w:eastAsia="en-GB"/>
              </w:rPr>
            </w:pPr>
            <w:r>
              <w:rPr>
                <w:b/>
                <w:bCs/>
                <w:color w:val="000000"/>
                <w:sz w:val="18"/>
                <w:szCs w:val="18"/>
                <w:lang w:eastAsia="en-GB"/>
              </w:rPr>
              <w:t>1,526,644</w:t>
            </w:r>
          </w:p>
        </w:tc>
        <w:tc>
          <w:tcPr>
            <w:tcW w:w="886" w:type="pct"/>
            <w:tcBorders>
              <w:top w:val="single" w:sz="4" w:space="0" w:color="auto"/>
              <w:left w:val="nil"/>
              <w:bottom w:val="double" w:sz="6" w:space="0" w:color="auto"/>
              <w:right w:val="nil"/>
            </w:tcBorders>
            <w:shd w:val="clear" w:color="auto" w:fill="auto"/>
            <w:noWrap/>
            <w:vAlign w:val="bottom"/>
          </w:tcPr>
          <w:p w14:paraId="46F4826E" w14:textId="573FADBB" w:rsidR="00CD3678" w:rsidRPr="00EC690A" w:rsidRDefault="00203AE1" w:rsidP="00CD3678">
            <w:pPr>
              <w:jc w:val="right"/>
              <w:rPr>
                <w:b/>
                <w:bCs/>
                <w:color w:val="000000"/>
                <w:sz w:val="18"/>
                <w:szCs w:val="18"/>
                <w:lang w:eastAsia="en-GB"/>
              </w:rPr>
            </w:pPr>
            <w:r>
              <w:rPr>
                <w:b/>
                <w:bCs/>
                <w:color w:val="000000"/>
                <w:sz w:val="18"/>
                <w:szCs w:val="18"/>
                <w:lang w:eastAsia="en-GB"/>
              </w:rPr>
              <w:t>(407,000)</w:t>
            </w:r>
          </w:p>
        </w:tc>
        <w:tc>
          <w:tcPr>
            <w:tcW w:w="620" w:type="pct"/>
            <w:tcBorders>
              <w:top w:val="single" w:sz="4" w:space="0" w:color="auto"/>
              <w:left w:val="nil"/>
              <w:bottom w:val="double" w:sz="6" w:space="0" w:color="auto"/>
              <w:right w:val="nil"/>
            </w:tcBorders>
            <w:shd w:val="clear" w:color="auto" w:fill="auto"/>
            <w:noWrap/>
            <w:vAlign w:val="bottom"/>
          </w:tcPr>
          <w:p w14:paraId="2D3C9CB0" w14:textId="33AE78F3" w:rsidR="00CD3678" w:rsidRPr="00EC690A" w:rsidRDefault="00203AE1" w:rsidP="00CD3678">
            <w:pPr>
              <w:jc w:val="right"/>
              <w:rPr>
                <w:b/>
                <w:bCs/>
                <w:color w:val="000000"/>
                <w:sz w:val="18"/>
                <w:szCs w:val="18"/>
                <w:lang w:eastAsia="en-GB"/>
              </w:rPr>
            </w:pPr>
            <w:r>
              <w:rPr>
                <w:b/>
                <w:bCs/>
                <w:color w:val="000000"/>
                <w:sz w:val="18"/>
                <w:szCs w:val="18"/>
                <w:lang w:eastAsia="en-GB"/>
              </w:rPr>
              <w:t>1,119,644</w:t>
            </w:r>
          </w:p>
        </w:tc>
      </w:tr>
    </w:tbl>
    <w:p w14:paraId="6888EC8D" w14:textId="77777777" w:rsidR="00CD3678" w:rsidRPr="00CD3678" w:rsidRDefault="00CD3678" w:rsidP="00CD3678">
      <w:pPr>
        <w:spacing w:before="120" w:after="120"/>
        <w:rPr>
          <w:sz w:val="18"/>
          <w:szCs w:val="18"/>
          <w:lang w:val="en-US"/>
        </w:rPr>
      </w:pPr>
      <w:r w:rsidRPr="00CD3678">
        <w:rPr>
          <w:sz w:val="18"/>
          <w:szCs w:val="18"/>
          <w:lang w:val="en-US"/>
        </w:rPr>
        <w:t>Below is the analysis of provision for claims for the year ended 31 December 2019:</w:t>
      </w:r>
    </w:p>
    <w:tbl>
      <w:tblPr>
        <w:tblW w:w="5000" w:type="pct"/>
        <w:tblLook w:val="04A0" w:firstRow="1" w:lastRow="0" w:firstColumn="1" w:lastColumn="0" w:noHBand="0" w:noVBand="1"/>
      </w:tblPr>
      <w:tblGrid>
        <w:gridCol w:w="4655"/>
        <w:gridCol w:w="278"/>
        <w:gridCol w:w="1087"/>
        <w:gridCol w:w="1553"/>
        <w:gridCol w:w="1192"/>
      </w:tblGrid>
      <w:tr w:rsidR="00CD3678" w:rsidRPr="0091538C" w14:paraId="60CF7361" w14:textId="77777777" w:rsidTr="00CD3678">
        <w:trPr>
          <w:trHeight w:val="300"/>
        </w:trPr>
        <w:tc>
          <w:tcPr>
            <w:tcW w:w="2656" w:type="pct"/>
            <w:tcBorders>
              <w:top w:val="nil"/>
              <w:left w:val="nil"/>
              <w:bottom w:val="nil"/>
              <w:right w:val="nil"/>
            </w:tcBorders>
            <w:shd w:val="clear" w:color="auto" w:fill="auto"/>
            <w:noWrap/>
            <w:vAlign w:val="bottom"/>
            <w:hideMark/>
          </w:tcPr>
          <w:p w14:paraId="44893B53" w14:textId="77777777" w:rsidR="00CD3678" w:rsidRPr="00EC690A" w:rsidRDefault="00CD3678" w:rsidP="00CD3678">
            <w:pPr>
              <w:rPr>
                <w:color w:val="000000"/>
                <w:sz w:val="18"/>
                <w:szCs w:val="18"/>
                <w:lang w:eastAsia="en-GB"/>
              </w:rPr>
            </w:pPr>
          </w:p>
        </w:tc>
        <w:tc>
          <w:tcPr>
            <w:tcW w:w="218" w:type="pct"/>
            <w:tcBorders>
              <w:top w:val="nil"/>
              <w:left w:val="nil"/>
              <w:bottom w:val="nil"/>
              <w:right w:val="nil"/>
            </w:tcBorders>
            <w:shd w:val="clear" w:color="auto" w:fill="auto"/>
            <w:noWrap/>
            <w:vAlign w:val="bottom"/>
            <w:hideMark/>
          </w:tcPr>
          <w:p w14:paraId="5FB5B1F2" w14:textId="77777777" w:rsidR="00CD3678" w:rsidRPr="00EC690A" w:rsidRDefault="00CD3678" w:rsidP="00CD3678">
            <w:pPr>
              <w:rPr>
                <w:color w:val="000000"/>
                <w:sz w:val="18"/>
                <w:szCs w:val="18"/>
                <w:lang w:eastAsia="en-GB"/>
              </w:rPr>
            </w:pPr>
          </w:p>
        </w:tc>
        <w:tc>
          <w:tcPr>
            <w:tcW w:w="620" w:type="pct"/>
            <w:tcBorders>
              <w:top w:val="nil"/>
              <w:left w:val="nil"/>
              <w:bottom w:val="single" w:sz="4" w:space="0" w:color="auto"/>
              <w:right w:val="nil"/>
            </w:tcBorders>
            <w:shd w:val="clear" w:color="auto" w:fill="auto"/>
            <w:noWrap/>
            <w:vAlign w:val="bottom"/>
            <w:hideMark/>
          </w:tcPr>
          <w:p w14:paraId="5878861A" w14:textId="77777777" w:rsidR="00CD3678" w:rsidRPr="00EC690A" w:rsidRDefault="00CD3678" w:rsidP="00CD3678">
            <w:pPr>
              <w:rPr>
                <w:color w:val="000000"/>
                <w:sz w:val="18"/>
                <w:szCs w:val="18"/>
                <w:lang w:eastAsia="en-GB"/>
              </w:rPr>
            </w:pPr>
            <w:r w:rsidRPr="00EC690A">
              <w:rPr>
                <w:color w:val="000000"/>
                <w:sz w:val="18"/>
                <w:szCs w:val="18"/>
                <w:lang w:eastAsia="en-GB"/>
              </w:rPr>
              <w:t> </w:t>
            </w:r>
          </w:p>
        </w:tc>
        <w:tc>
          <w:tcPr>
            <w:tcW w:w="886" w:type="pct"/>
            <w:tcBorders>
              <w:top w:val="nil"/>
              <w:left w:val="nil"/>
              <w:bottom w:val="single" w:sz="4" w:space="0" w:color="auto"/>
              <w:right w:val="nil"/>
            </w:tcBorders>
            <w:shd w:val="clear" w:color="auto" w:fill="auto"/>
            <w:noWrap/>
            <w:vAlign w:val="bottom"/>
            <w:hideMark/>
          </w:tcPr>
          <w:p w14:paraId="22BD7095" w14:textId="77777777" w:rsidR="00CD3678" w:rsidRPr="00EC690A" w:rsidRDefault="00CD3678" w:rsidP="00CD3678">
            <w:pPr>
              <w:rPr>
                <w:color w:val="000000"/>
                <w:sz w:val="18"/>
                <w:szCs w:val="18"/>
                <w:lang w:eastAsia="en-GB"/>
              </w:rPr>
            </w:pPr>
            <w:r w:rsidRPr="00EC690A">
              <w:rPr>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5894D580" w14:textId="1D91535D" w:rsidR="00CD3678" w:rsidRPr="00EC690A" w:rsidRDefault="00703807" w:rsidP="00CD3678">
            <w:pPr>
              <w:jc w:val="right"/>
              <w:rPr>
                <w:b/>
                <w:bCs/>
                <w:color w:val="000000"/>
                <w:sz w:val="18"/>
                <w:szCs w:val="18"/>
                <w:lang w:eastAsia="en-GB"/>
              </w:rPr>
            </w:pPr>
            <w:r>
              <w:rPr>
                <w:b/>
                <w:bCs/>
                <w:color w:val="000000"/>
                <w:sz w:val="18"/>
                <w:szCs w:val="18"/>
                <w:lang w:eastAsia="en-GB"/>
              </w:rPr>
              <w:t>31.12.</w:t>
            </w:r>
            <w:r w:rsidR="00CD3678" w:rsidRPr="00EC690A">
              <w:rPr>
                <w:b/>
                <w:bCs/>
                <w:color w:val="000000"/>
                <w:sz w:val="18"/>
                <w:szCs w:val="18"/>
                <w:lang w:eastAsia="en-GB"/>
              </w:rPr>
              <w:t>201</w:t>
            </w:r>
            <w:r w:rsidR="00CD3678">
              <w:rPr>
                <w:b/>
                <w:bCs/>
                <w:color w:val="000000"/>
                <w:sz w:val="18"/>
                <w:szCs w:val="18"/>
                <w:lang w:eastAsia="en-GB"/>
              </w:rPr>
              <w:t>8</w:t>
            </w:r>
          </w:p>
        </w:tc>
      </w:tr>
      <w:tr w:rsidR="00CD3678" w:rsidRPr="0091538C" w14:paraId="7D476A38" w14:textId="77777777" w:rsidTr="00CD3678">
        <w:trPr>
          <w:trHeight w:val="300"/>
        </w:trPr>
        <w:tc>
          <w:tcPr>
            <w:tcW w:w="2656" w:type="pct"/>
            <w:tcBorders>
              <w:top w:val="nil"/>
              <w:left w:val="nil"/>
              <w:bottom w:val="single" w:sz="4" w:space="0" w:color="auto"/>
              <w:right w:val="nil"/>
            </w:tcBorders>
            <w:shd w:val="clear" w:color="auto" w:fill="auto"/>
            <w:noWrap/>
            <w:vAlign w:val="bottom"/>
            <w:hideMark/>
          </w:tcPr>
          <w:p w14:paraId="118A2EF3" w14:textId="77777777" w:rsidR="00CD3678" w:rsidRPr="00EC690A" w:rsidRDefault="00CD3678" w:rsidP="00CD3678">
            <w:pPr>
              <w:rPr>
                <w:b/>
                <w:bCs/>
                <w:color w:val="000000"/>
                <w:sz w:val="18"/>
                <w:szCs w:val="18"/>
                <w:lang w:eastAsia="en-GB"/>
              </w:rPr>
            </w:pPr>
            <w:r w:rsidRPr="00EC690A">
              <w:rPr>
                <w:b/>
                <w:bCs/>
                <w:color w:val="000000"/>
                <w:sz w:val="18"/>
                <w:szCs w:val="18"/>
                <w:lang w:eastAsia="en-GB"/>
              </w:rPr>
              <w:t> </w:t>
            </w:r>
          </w:p>
        </w:tc>
        <w:tc>
          <w:tcPr>
            <w:tcW w:w="218" w:type="pct"/>
            <w:tcBorders>
              <w:top w:val="nil"/>
              <w:left w:val="nil"/>
              <w:bottom w:val="single" w:sz="4" w:space="0" w:color="auto"/>
              <w:right w:val="nil"/>
            </w:tcBorders>
            <w:shd w:val="clear" w:color="auto" w:fill="auto"/>
            <w:noWrap/>
            <w:vAlign w:val="bottom"/>
            <w:hideMark/>
          </w:tcPr>
          <w:p w14:paraId="7D37EA87" w14:textId="77777777" w:rsidR="00CD3678" w:rsidRPr="00EC690A" w:rsidRDefault="00CD3678"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nil"/>
              <w:left w:val="nil"/>
              <w:bottom w:val="single" w:sz="4" w:space="0" w:color="auto"/>
              <w:right w:val="nil"/>
            </w:tcBorders>
            <w:shd w:val="clear" w:color="auto" w:fill="auto"/>
            <w:noWrap/>
            <w:vAlign w:val="bottom"/>
            <w:hideMark/>
          </w:tcPr>
          <w:p w14:paraId="652D3D78" w14:textId="77777777" w:rsidR="00CD3678" w:rsidRPr="00EC690A" w:rsidRDefault="00CD3678" w:rsidP="00CD3678">
            <w:pPr>
              <w:jc w:val="right"/>
              <w:rPr>
                <w:b/>
                <w:bCs/>
                <w:color w:val="000000"/>
                <w:sz w:val="18"/>
                <w:szCs w:val="18"/>
                <w:lang w:eastAsia="en-GB"/>
              </w:rPr>
            </w:pPr>
            <w:r w:rsidRPr="00EC690A">
              <w:rPr>
                <w:b/>
                <w:bCs/>
                <w:color w:val="000000"/>
                <w:sz w:val="18"/>
                <w:szCs w:val="18"/>
                <w:lang w:eastAsia="en-GB"/>
              </w:rPr>
              <w:t>Gross</w:t>
            </w:r>
          </w:p>
        </w:tc>
        <w:tc>
          <w:tcPr>
            <w:tcW w:w="886" w:type="pct"/>
            <w:tcBorders>
              <w:top w:val="nil"/>
              <w:left w:val="nil"/>
              <w:bottom w:val="single" w:sz="4" w:space="0" w:color="auto"/>
              <w:right w:val="nil"/>
            </w:tcBorders>
            <w:shd w:val="clear" w:color="auto" w:fill="auto"/>
            <w:noWrap/>
            <w:vAlign w:val="bottom"/>
            <w:hideMark/>
          </w:tcPr>
          <w:p w14:paraId="139C0B53" w14:textId="77777777" w:rsidR="00CD3678" w:rsidRPr="00EC690A" w:rsidRDefault="00CD3678" w:rsidP="00CD3678">
            <w:pPr>
              <w:jc w:val="right"/>
              <w:rPr>
                <w:b/>
                <w:bCs/>
                <w:color w:val="000000"/>
                <w:sz w:val="18"/>
                <w:szCs w:val="18"/>
                <w:lang w:eastAsia="en-GB"/>
              </w:rPr>
            </w:pPr>
            <w:r w:rsidRPr="00EC690A">
              <w:rPr>
                <w:b/>
                <w:bCs/>
                <w:color w:val="000000"/>
                <w:sz w:val="18"/>
                <w:szCs w:val="18"/>
                <w:lang w:eastAsia="en-GB"/>
              </w:rPr>
              <w:t>Reinsurer's part</w:t>
            </w:r>
          </w:p>
        </w:tc>
        <w:tc>
          <w:tcPr>
            <w:tcW w:w="620" w:type="pct"/>
            <w:tcBorders>
              <w:top w:val="nil"/>
              <w:left w:val="nil"/>
              <w:bottom w:val="single" w:sz="4" w:space="0" w:color="auto"/>
              <w:right w:val="nil"/>
            </w:tcBorders>
            <w:shd w:val="clear" w:color="auto" w:fill="auto"/>
            <w:noWrap/>
            <w:vAlign w:val="bottom"/>
            <w:hideMark/>
          </w:tcPr>
          <w:p w14:paraId="646B23C0" w14:textId="77777777" w:rsidR="00CD3678" w:rsidRPr="00EC690A" w:rsidRDefault="00CD3678" w:rsidP="00CD3678">
            <w:pPr>
              <w:jc w:val="right"/>
              <w:rPr>
                <w:b/>
                <w:bCs/>
                <w:color w:val="000000"/>
                <w:sz w:val="18"/>
                <w:szCs w:val="18"/>
                <w:lang w:eastAsia="en-GB"/>
              </w:rPr>
            </w:pPr>
            <w:r w:rsidRPr="00EC690A">
              <w:rPr>
                <w:b/>
                <w:bCs/>
                <w:color w:val="000000"/>
                <w:sz w:val="18"/>
                <w:szCs w:val="18"/>
                <w:lang w:eastAsia="en-GB"/>
              </w:rPr>
              <w:t>Net</w:t>
            </w:r>
          </w:p>
        </w:tc>
      </w:tr>
      <w:tr w:rsidR="00CD3678" w:rsidRPr="0091538C" w14:paraId="25D4D576" w14:textId="77777777" w:rsidTr="00CD3678">
        <w:trPr>
          <w:trHeight w:val="300"/>
        </w:trPr>
        <w:tc>
          <w:tcPr>
            <w:tcW w:w="2656" w:type="pct"/>
            <w:tcBorders>
              <w:top w:val="nil"/>
              <w:left w:val="nil"/>
              <w:bottom w:val="nil"/>
              <w:right w:val="nil"/>
            </w:tcBorders>
            <w:shd w:val="clear" w:color="auto" w:fill="auto"/>
            <w:noWrap/>
            <w:vAlign w:val="bottom"/>
            <w:hideMark/>
          </w:tcPr>
          <w:p w14:paraId="37C2CEA5" w14:textId="77777777" w:rsidR="00CD3678" w:rsidRPr="00EC690A" w:rsidRDefault="00CD3678" w:rsidP="00CD3678">
            <w:pPr>
              <w:spacing w:before="240"/>
              <w:rPr>
                <w:color w:val="000000"/>
                <w:sz w:val="18"/>
                <w:szCs w:val="18"/>
                <w:lang w:eastAsia="en-GB"/>
              </w:rPr>
            </w:pPr>
            <w:r w:rsidRPr="00EC690A">
              <w:rPr>
                <w:color w:val="000000"/>
                <w:sz w:val="18"/>
                <w:szCs w:val="18"/>
                <w:lang w:eastAsia="en-GB"/>
              </w:rPr>
              <w:t>Provision for unearned premiums as at 1 January</w:t>
            </w:r>
          </w:p>
        </w:tc>
        <w:tc>
          <w:tcPr>
            <w:tcW w:w="218" w:type="pct"/>
            <w:tcBorders>
              <w:top w:val="nil"/>
              <w:left w:val="nil"/>
              <w:bottom w:val="nil"/>
              <w:right w:val="nil"/>
            </w:tcBorders>
            <w:shd w:val="clear" w:color="auto" w:fill="auto"/>
            <w:noWrap/>
            <w:vAlign w:val="bottom"/>
            <w:hideMark/>
          </w:tcPr>
          <w:p w14:paraId="477E63C9" w14:textId="77777777" w:rsidR="00CD3678" w:rsidRPr="00EC690A" w:rsidRDefault="00CD3678"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56C6F9AC" w14:textId="7BF6EB9D" w:rsidR="00CD3678" w:rsidRPr="00EC690A" w:rsidRDefault="00CD3678" w:rsidP="00CD3678">
            <w:pPr>
              <w:jc w:val="right"/>
              <w:rPr>
                <w:color w:val="000000"/>
                <w:sz w:val="18"/>
                <w:szCs w:val="18"/>
                <w:lang w:eastAsia="en-GB"/>
              </w:rPr>
            </w:pPr>
            <w:r>
              <w:rPr>
                <w:color w:val="000000"/>
                <w:sz w:val="18"/>
                <w:szCs w:val="18"/>
                <w:lang w:eastAsia="en-GB"/>
              </w:rPr>
              <w:t>1,004,874</w:t>
            </w:r>
          </w:p>
        </w:tc>
        <w:tc>
          <w:tcPr>
            <w:tcW w:w="886" w:type="pct"/>
            <w:tcBorders>
              <w:top w:val="nil"/>
              <w:left w:val="nil"/>
              <w:bottom w:val="nil"/>
              <w:right w:val="nil"/>
            </w:tcBorders>
            <w:shd w:val="clear" w:color="auto" w:fill="auto"/>
            <w:noWrap/>
            <w:vAlign w:val="bottom"/>
          </w:tcPr>
          <w:p w14:paraId="2A652BA7" w14:textId="17A8D9C1" w:rsidR="00CD3678" w:rsidRPr="00EC690A" w:rsidRDefault="00CD3678" w:rsidP="00CD3678">
            <w:pPr>
              <w:jc w:val="right"/>
              <w:rPr>
                <w:color w:val="000000"/>
                <w:sz w:val="18"/>
                <w:szCs w:val="18"/>
                <w:lang w:eastAsia="en-GB"/>
              </w:rPr>
            </w:pPr>
            <w:r>
              <w:rPr>
                <w:color w:val="000000"/>
                <w:sz w:val="18"/>
                <w:szCs w:val="18"/>
                <w:lang w:eastAsia="en-GB"/>
              </w:rPr>
              <w:t>(192,508)</w:t>
            </w:r>
          </w:p>
        </w:tc>
        <w:tc>
          <w:tcPr>
            <w:tcW w:w="620" w:type="pct"/>
            <w:tcBorders>
              <w:top w:val="nil"/>
              <w:left w:val="nil"/>
              <w:bottom w:val="nil"/>
              <w:right w:val="nil"/>
            </w:tcBorders>
            <w:shd w:val="clear" w:color="auto" w:fill="auto"/>
            <w:noWrap/>
            <w:vAlign w:val="bottom"/>
          </w:tcPr>
          <w:p w14:paraId="06487C4A" w14:textId="5B626A2D" w:rsidR="00CD3678" w:rsidRPr="00EC690A" w:rsidRDefault="00CD3678" w:rsidP="00CD3678">
            <w:pPr>
              <w:jc w:val="right"/>
              <w:rPr>
                <w:color w:val="000000"/>
                <w:sz w:val="18"/>
                <w:szCs w:val="18"/>
                <w:lang w:eastAsia="en-GB"/>
              </w:rPr>
            </w:pPr>
            <w:r>
              <w:rPr>
                <w:color w:val="000000"/>
                <w:sz w:val="18"/>
                <w:szCs w:val="18"/>
                <w:lang w:eastAsia="en-GB"/>
              </w:rPr>
              <w:t>812,366</w:t>
            </w:r>
          </w:p>
        </w:tc>
      </w:tr>
      <w:tr w:rsidR="00CD3678" w:rsidRPr="00EC690A" w14:paraId="37E605A8" w14:textId="77777777" w:rsidTr="00CD3678">
        <w:trPr>
          <w:trHeight w:val="300"/>
        </w:trPr>
        <w:tc>
          <w:tcPr>
            <w:tcW w:w="2656" w:type="pct"/>
            <w:tcBorders>
              <w:top w:val="nil"/>
              <w:left w:val="nil"/>
              <w:bottom w:val="nil"/>
              <w:right w:val="nil"/>
            </w:tcBorders>
            <w:shd w:val="clear" w:color="auto" w:fill="auto"/>
            <w:noWrap/>
            <w:vAlign w:val="bottom"/>
            <w:hideMark/>
          </w:tcPr>
          <w:p w14:paraId="710DDAA5" w14:textId="77777777" w:rsidR="00CD3678" w:rsidRPr="00EC690A" w:rsidRDefault="00CD3678" w:rsidP="00CD3678">
            <w:pPr>
              <w:rPr>
                <w:color w:val="000000"/>
                <w:sz w:val="18"/>
                <w:szCs w:val="18"/>
                <w:lang w:eastAsia="en-GB"/>
              </w:rPr>
            </w:pPr>
            <w:r w:rsidRPr="00EC690A">
              <w:rPr>
                <w:color w:val="000000"/>
                <w:sz w:val="18"/>
                <w:szCs w:val="18"/>
                <w:lang w:eastAsia="en-GB"/>
              </w:rPr>
              <w:t>Change in provision for unearned premiums</w:t>
            </w:r>
          </w:p>
        </w:tc>
        <w:tc>
          <w:tcPr>
            <w:tcW w:w="218" w:type="pct"/>
            <w:tcBorders>
              <w:top w:val="nil"/>
              <w:left w:val="nil"/>
              <w:bottom w:val="nil"/>
              <w:right w:val="nil"/>
            </w:tcBorders>
            <w:shd w:val="clear" w:color="auto" w:fill="auto"/>
            <w:noWrap/>
            <w:vAlign w:val="bottom"/>
            <w:hideMark/>
          </w:tcPr>
          <w:p w14:paraId="3B89D06C" w14:textId="77777777" w:rsidR="00CD3678" w:rsidRPr="00EC690A" w:rsidRDefault="00CD3678" w:rsidP="00CD3678">
            <w:pPr>
              <w:rPr>
                <w:color w:val="000000"/>
                <w:sz w:val="18"/>
                <w:szCs w:val="18"/>
                <w:lang w:eastAsia="en-GB"/>
              </w:rPr>
            </w:pPr>
          </w:p>
        </w:tc>
        <w:tc>
          <w:tcPr>
            <w:tcW w:w="620" w:type="pct"/>
            <w:tcBorders>
              <w:top w:val="nil"/>
              <w:left w:val="nil"/>
              <w:bottom w:val="nil"/>
              <w:right w:val="nil"/>
            </w:tcBorders>
            <w:shd w:val="clear" w:color="auto" w:fill="auto"/>
            <w:noWrap/>
            <w:vAlign w:val="bottom"/>
          </w:tcPr>
          <w:p w14:paraId="310D890A" w14:textId="7BD66B92" w:rsidR="00CD3678" w:rsidRPr="00EC690A" w:rsidRDefault="00CD3678" w:rsidP="00CD3678">
            <w:pPr>
              <w:jc w:val="right"/>
              <w:rPr>
                <w:color w:val="000000"/>
                <w:sz w:val="18"/>
                <w:szCs w:val="18"/>
                <w:lang w:eastAsia="en-GB"/>
              </w:rPr>
            </w:pPr>
            <w:r>
              <w:rPr>
                <w:color w:val="000000"/>
                <w:sz w:val="18"/>
                <w:szCs w:val="18"/>
                <w:lang w:eastAsia="en-GB"/>
              </w:rPr>
              <w:t>153,612</w:t>
            </w:r>
          </w:p>
        </w:tc>
        <w:tc>
          <w:tcPr>
            <w:tcW w:w="886" w:type="pct"/>
            <w:tcBorders>
              <w:top w:val="nil"/>
              <w:left w:val="nil"/>
              <w:bottom w:val="nil"/>
              <w:right w:val="nil"/>
            </w:tcBorders>
            <w:shd w:val="clear" w:color="auto" w:fill="auto"/>
            <w:noWrap/>
            <w:vAlign w:val="bottom"/>
          </w:tcPr>
          <w:p w14:paraId="6F4F1B3F" w14:textId="7A04030C" w:rsidR="00CD3678" w:rsidRPr="00EC690A" w:rsidRDefault="00CD3678" w:rsidP="00CD3678">
            <w:pPr>
              <w:jc w:val="right"/>
              <w:rPr>
                <w:color w:val="000000"/>
                <w:sz w:val="18"/>
                <w:szCs w:val="18"/>
                <w:lang w:eastAsia="en-GB"/>
              </w:rPr>
            </w:pPr>
            <w:r>
              <w:rPr>
                <w:color w:val="000000"/>
                <w:sz w:val="18"/>
                <w:szCs w:val="18"/>
                <w:lang w:eastAsia="en-GB"/>
              </w:rPr>
              <w:t>(132,987)</w:t>
            </w:r>
          </w:p>
        </w:tc>
        <w:tc>
          <w:tcPr>
            <w:tcW w:w="620" w:type="pct"/>
            <w:tcBorders>
              <w:top w:val="nil"/>
              <w:left w:val="nil"/>
              <w:bottom w:val="nil"/>
              <w:right w:val="nil"/>
            </w:tcBorders>
            <w:shd w:val="clear" w:color="auto" w:fill="auto"/>
            <w:noWrap/>
            <w:vAlign w:val="bottom"/>
          </w:tcPr>
          <w:p w14:paraId="48D53F31" w14:textId="424CE147" w:rsidR="00CD3678" w:rsidRPr="00EC690A" w:rsidRDefault="00CD3678" w:rsidP="00CD3678">
            <w:pPr>
              <w:jc w:val="right"/>
              <w:rPr>
                <w:color w:val="000000"/>
                <w:sz w:val="18"/>
                <w:szCs w:val="18"/>
                <w:lang w:eastAsia="en-GB"/>
              </w:rPr>
            </w:pPr>
            <w:r>
              <w:rPr>
                <w:color w:val="000000"/>
                <w:sz w:val="18"/>
                <w:szCs w:val="18"/>
                <w:lang w:eastAsia="en-GB"/>
              </w:rPr>
              <w:t>20,625</w:t>
            </w:r>
          </w:p>
        </w:tc>
      </w:tr>
      <w:tr w:rsidR="00CD3678" w:rsidRPr="00EC690A" w14:paraId="530E2D85" w14:textId="77777777" w:rsidTr="00CD3678">
        <w:trPr>
          <w:trHeight w:val="315"/>
        </w:trPr>
        <w:tc>
          <w:tcPr>
            <w:tcW w:w="2656" w:type="pct"/>
            <w:tcBorders>
              <w:top w:val="single" w:sz="4" w:space="0" w:color="auto"/>
              <w:left w:val="nil"/>
              <w:bottom w:val="double" w:sz="6" w:space="0" w:color="auto"/>
              <w:right w:val="nil"/>
            </w:tcBorders>
            <w:shd w:val="clear" w:color="auto" w:fill="auto"/>
            <w:noWrap/>
            <w:vAlign w:val="bottom"/>
            <w:hideMark/>
          </w:tcPr>
          <w:p w14:paraId="0E73C31E" w14:textId="77777777" w:rsidR="00CD3678" w:rsidRPr="00EC690A" w:rsidRDefault="00CD3678" w:rsidP="00CD3678">
            <w:pPr>
              <w:rPr>
                <w:b/>
                <w:bCs/>
                <w:color w:val="000000"/>
                <w:sz w:val="18"/>
                <w:szCs w:val="18"/>
                <w:lang w:eastAsia="en-GB"/>
              </w:rPr>
            </w:pPr>
            <w:r w:rsidRPr="00EC690A">
              <w:rPr>
                <w:b/>
                <w:bCs/>
                <w:color w:val="000000"/>
                <w:sz w:val="18"/>
                <w:szCs w:val="18"/>
                <w:lang w:eastAsia="en-GB"/>
              </w:rPr>
              <w:t>Provision for unearned premiums as at 31 December</w:t>
            </w:r>
          </w:p>
        </w:tc>
        <w:tc>
          <w:tcPr>
            <w:tcW w:w="218" w:type="pct"/>
            <w:tcBorders>
              <w:top w:val="single" w:sz="4" w:space="0" w:color="auto"/>
              <w:left w:val="nil"/>
              <w:bottom w:val="double" w:sz="6" w:space="0" w:color="auto"/>
              <w:right w:val="nil"/>
            </w:tcBorders>
            <w:shd w:val="clear" w:color="auto" w:fill="auto"/>
            <w:noWrap/>
            <w:vAlign w:val="bottom"/>
            <w:hideMark/>
          </w:tcPr>
          <w:p w14:paraId="0A111B83" w14:textId="77777777" w:rsidR="00CD3678" w:rsidRPr="00EC690A" w:rsidRDefault="00CD3678" w:rsidP="00CD3678">
            <w:pPr>
              <w:jc w:val="center"/>
              <w:rPr>
                <w:b/>
                <w:bCs/>
                <w:color w:val="000000"/>
                <w:sz w:val="18"/>
                <w:szCs w:val="18"/>
                <w:lang w:eastAsia="en-GB"/>
              </w:rPr>
            </w:pPr>
            <w:r w:rsidRPr="00EC690A">
              <w:rPr>
                <w:b/>
                <w:bCs/>
                <w:color w:val="000000"/>
                <w:sz w:val="18"/>
                <w:szCs w:val="18"/>
                <w:lang w:eastAsia="en-GB"/>
              </w:rPr>
              <w:t> </w:t>
            </w:r>
          </w:p>
        </w:tc>
        <w:tc>
          <w:tcPr>
            <w:tcW w:w="620" w:type="pct"/>
            <w:tcBorders>
              <w:top w:val="single" w:sz="4" w:space="0" w:color="auto"/>
              <w:left w:val="nil"/>
              <w:bottom w:val="double" w:sz="6" w:space="0" w:color="auto"/>
              <w:right w:val="nil"/>
            </w:tcBorders>
            <w:shd w:val="clear" w:color="auto" w:fill="auto"/>
            <w:noWrap/>
            <w:vAlign w:val="bottom"/>
          </w:tcPr>
          <w:p w14:paraId="4D591A40" w14:textId="239A3D7A" w:rsidR="00CD3678" w:rsidRPr="00EC690A" w:rsidRDefault="00CD3678" w:rsidP="00CD3678">
            <w:pPr>
              <w:jc w:val="right"/>
              <w:rPr>
                <w:b/>
                <w:bCs/>
                <w:color w:val="000000"/>
                <w:sz w:val="18"/>
                <w:szCs w:val="18"/>
                <w:lang w:eastAsia="en-GB"/>
              </w:rPr>
            </w:pPr>
            <w:r>
              <w:rPr>
                <w:b/>
                <w:bCs/>
                <w:color w:val="000000"/>
                <w:sz w:val="18"/>
                <w:szCs w:val="18"/>
                <w:lang w:eastAsia="en-GB"/>
              </w:rPr>
              <w:t>1,158,486</w:t>
            </w:r>
          </w:p>
        </w:tc>
        <w:tc>
          <w:tcPr>
            <w:tcW w:w="886" w:type="pct"/>
            <w:tcBorders>
              <w:top w:val="single" w:sz="4" w:space="0" w:color="auto"/>
              <w:left w:val="nil"/>
              <w:bottom w:val="double" w:sz="6" w:space="0" w:color="auto"/>
              <w:right w:val="nil"/>
            </w:tcBorders>
            <w:shd w:val="clear" w:color="auto" w:fill="auto"/>
            <w:noWrap/>
            <w:vAlign w:val="bottom"/>
          </w:tcPr>
          <w:p w14:paraId="6E50E2C9" w14:textId="372003BD" w:rsidR="00CD3678" w:rsidRPr="00EC690A" w:rsidRDefault="00CD3678" w:rsidP="00CD3678">
            <w:pPr>
              <w:jc w:val="right"/>
              <w:rPr>
                <w:b/>
                <w:bCs/>
                <w:color w:val="000000"/>
                <w:sz w:val="18"/>
                <w:szCs w:val="18"/>
                <w:lang w:eastAsia="en-GB"/>
              </w:rPr>
            </w:pPr>
            <w:r>
              <w:rPr>
                <w:b/>
                <w:bCs/>
                <w:color w:val="000000"/>
                <w:sz w:val="18"/>
                <w:szCs w:val="18"/>
                <w:lang w:eastAsia="en-GB"/>
              </w:rPr>
              <w:t>(325,495)</w:t>
            </w:r>
          </w:p>
        </w:tc>
        <w:tc>
          <w:tcPr>
            <w:tcW w:w="620" w:type="pct"/>
            <w:tcBorders>
              <w:top w:val="single" w:sz="4" w:space="0" w:color="auto"/>
              <w:left w:val="nil"/>
              <w:bottom w:val="double" w:sz="6" w:space="0" w:color="auto"/>
              <w:right w:val="nil"/>
            </w:tcBorders>
            <w:shd w:val="clear" w:color="auto" w:fill="auto"/>
            <w:noWrap/>
            <w:vAlign w:val="bottom"/>
          </w:tcPr>
          <w:p w14:paraId="30193B8C" w14:textId="4C4FBB3E" w:rsidR="00CD3678" w:rsidRPr="00EC690A" w:rsidRDefault="00CD3678" w:rsidP="00CD3678">
            <w:pPr>
              <w:jc w:val="right"/>
              <w:rPr>
                <w:b/>
                <w:bCs/>
                <w:color w:val="000000"/>
                <w:sz w:val="18"/>
                <w:szCs w:val="18"/>
                <w:lang w:eastAsia="en-GB"/>
              </w:rPr>
            </w:pPr>
            <w:r>
              <w:rPr>
                <w:b/>
                <w:bCs/>
                <w:color w:val="000000"/>
                <w:sz w:val="18"/>
                <w:szCs w:val="18"/>
                <w:lang w:eastAsia="en-GB"/>
              </w:rPr>
              <w:t>832,991</w:t>
            </w:r>
          </w:p>
        </w:tc>
      </w:tr>
    </w:tbl>
    <w:p w14:paraId="086BA55B" w14:textId="0FC41CFC" w:rsidR="00CD3678" w:rsidRDefault="00CD3678" w:rsidP="00CD3678">
      <w:pPr>
        <w:spacing w:before="120" w:after="120"/>
        <w:rPr>
          <w:sz w:val="18"/>
          <w:szCs w:val="18"/>
        </w:rPr>
      </w:pPr>
      <w:r>
        <w:rPr>
          <w:sz w:val="18"/>
          <w:szCs w:val="18"/>
        </w:rPr>
        <w:t>Below is the categorisation of provision for claims as at 31 December 2019 and 2018:</w:t>
      </w:r>
    </w:p>
    <w:tbl>
      <w:tblPr>
        <w:tblW w:w="8789" w:type="dxa"/>
        <w:tblLook w:val="04A0" w:firstRow="1" w:lastRow="0" w:firstColumn="1" w:lastColumn="0" w:noHBand="0" w:noVBand="1"/>
      </w:tblPr>
      <w:tblGrid>
        <w:gridCol w:w="5245"/>
        <w:gridCol w:w="709"/>
        <w:gridCol w:w="1275"/>
        <w:gridCol w:w="1560"/>
      </w:tblGrid>
      <w:tr w:rsidR="00CD3678" w:rsidRPr="00290B01" w14:paraId="0EEE07BD" w14:textId="77777777" w:rsidTr="00CD3678">
        <w:trPr>
          <w:trHeight w:val="305"/>
        </w:trPr>
        <w:tc>
          <w:tcPr>
            <w:tcW w:w="5245" w:type="dxa"/>
            <w:tcBorders>
              <w:top w:val="nil"/>
              <w:left w:val="nil"/>
              <w:bottom w:val="single" w:sz="8" w:space="0" w:color="auto"/>
              <w:right w:val="nil"/>
            </w:tcBorders>
            <w:shd w:val="clear" w:color="auto" w:fill="auto"/>
            <w:noWrap/>
            <w:vAlign w:val="center"/>
            <w:hideMark/>
          </w:tcPr>
          <w:p w14:paraId="66B045E1" w14:textId="77777777" w:rsidR="00CD3678" w:rsidRPr="00290B01" w:rsidRDefault="00CD3678" w:rsidP="00CD3678">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1375B40A" w14:textId="77777777" w:rsidR="00CD3678" w:rsidRPr="00290B01" w:rsidRDefault="00CD3678"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25889B4E" w14:textId="76CCB796" w:rsidR="00CD3678" w:rsidRPr="00703807" w:rsidRDefault="00703807" w:rsidP="00CD3678">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31.12.</w:t>
            </w:r>
            <w:r w:rsidR="00CD3678" w:rsidRPr="00703807">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04BAD79B" w14:textId="78F04B4F" w:rsidR="00CD3678" w:rsidRPr="00703807" w:rsidRDefault="00703807" w:rsidP="00CD3678">
            <w:pPr>
              <w:jc w:val="right"/>
              <w:rPr>
                <w:rFonts w:eastAsia="Times New Roman" w:cs="Times New Roman"/>
                <w:color w:val="000000"/>
                <w:sz w:val="18"/>
                <w:szCs w:val="18"/>
                <w:lang w:eastAsia="en-GB"/>
              </w:rPr>
            </w:pPr>
            <w:r w:rsidRPr="00703807">
              <w:rPr>
                <w:rFonts w:eastAsia="Times New Roman" w:cs="Times New Roman"/>
                <w:color w:val="000000"/>
                <w:sz w:val="18"/>
                <w:szCs w:val="18"/>
                <w:lang w:eastAsia="en-GB"/>
              </w:rPr>
              <w:t>31.12.</w:t>
            </w:r>
            <w:r w:rsidR="00CD3678" w:rsidRPr="00703807">
              <w:rPr>
                <w:rFonts w:eastAsia="Times New Roman" w:cs="Times New Roman"/>
                <w:color w:val="000000"/>
                <w:sz w:val="18"/>
                <w:szCs w:val="18"/>
                <w:lang w:eastAsia="en-GB"/>
              </w:rPr>
              <w:t>2018</w:t>
            </w:r>
          </w:p>
        </w:tc>
      </w:tr>
      <w:tr w:rsidR="00CD3678" w:rsidRPr="00290B01" w14:paraId="0A340A66" w14:textId="77777777" w:rsidTr="00CD3678">
        <w:trPr>
          <w:trHeight w:val="288"/>
        </w:trPr>
        <w:tc>
          <w:tcPr>
            <w:tcW w:w="5245" w:type="dxa"/>
            <w:tcBorders>
              <w:top w:val="nil"/>
              <w:left w:val="nil"/>
              <w:bottom w:val="nil"/>
              <w:right w:val="nil"/>
            </w:tcBorders>
            <w:shd w:val="clear" w:color="auto" w:fill="auto"/>
            <w:noWrap/>
            <w:vAlign w:val="bottom"/>
            <w:hideMark/>
          </w:tcPr>
          <w:p w14:paraId="5CAB9A80" w14:textId="0C91801C" w:rsidR="00CD3678" w:rsidRPr="00290B01" w:rsidRDefault="00CD3678" w:rsidP="00CD3678">
            <w:pPr>
              <w:rPr>
                <w:rFonts w:eastAsia="Times New Roman" w:cs="Times New Roman"/>
                <w:color w:val="000000"/>
                <w:sz w:val="18"/>
                <w:szCs w:val="18"/>
                <w:lang w:eastAsia="en-GB"/>
              </w:rPr>
            </w:pPr>
            <w:r>
              <w:rPr>
                <w:rFonts w:eastAsia="Times New Roman" w:cs="Times New Roman"/>
                <w:color w:val="000000"/>
                <w:sz w:val="18"/>
                <w:szCs w:val="18"/>
                <w:lang w:eastAsia="en-GB"/>
              </w:rPr>
              <w:t>Reported but not settled claims</w:t>
            </w:r>
          </w:p>
        </w:tc>
        <w:tc>
          <w:tcPr>
            <w:tcW w:w="709" w:type="dxa"/>
            <w:tcBorders>
              <w:top w:val="nil"/>
              <w:left w:val="nil"/>
              <w:bottom w:val="nil"/>
              <w:right w:val="nil"/>
            </w:tcBorders>
            <w:shd w:val="clear" w:color="auto" w:fill="auto"/>
            <w:noWrap/>
            <w:vAlign w:val="bottom"/>
            <w:hideMark/>
          </w:tcPr>
          <w:p w14:paraId="3E530D39" w14:textId="77777777" w:rsidR="00CD3678" w:rsidRPr="00290B01" w:rsidRDefault="00CD3678"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132F0CB1" w14:textId="7125E94E" w:rsidR="00CD3678" w:rsidRPr="00703807" w:rsidRDefault="00203AE1" w:rsidP="00CD3678">
            <w:pPr>
              <w:jc w:val="right"/>
              <w:rPr>
                <w:rFonts w:eastAsia="Times New Roman" w:cs="Times New Roman"/>
                <w:b/>
                <w:bCs/>
                <w:sz w:val="18"/>
                <w:szCs w:val="18"/>
                <w:lang w:eastAsia="en-GB"/>
              </w:rPr>
            </w:pPr>
            <w:r w:rsidRPr="00703807">
              <w:rPr>
                <w:rFonts w:eastAsia="Times New Roman" w:cs="Times New Roman"/>
                <w:b/>
                <w:bCs/>
                <w:sz w:val="18"/>
                <w:szCs w:val="18"/>
                <w:lang w:eastAsia="en-GB"/>
              </w:rPr>
              <w:t>981,503</w:t>
            </w:r>
          </w:p>
        </w:tc>
        <w:tc>
          <w:tcPr>
            <w:tcW w:w="1560" w:type="dxa"/>
            <w:tcBorders>
              <w:top w:val="nil"/>
              <w:left w:val="nil"/>
              <w:bottom w:val="nil"/>
              <w:right w:val="nil"/>
            </w:tcBorders>
            <w:shd w:val="clear" w:color="auto" w:fill="auto"/>
            <w:noWrap/>
            <w:vAlign w:val="bottom"/>
          </w:tcPr>
          <w:p w14:paraId="0F0692A2" w14:textId="7B264CCC" w:rsidR="00CD3678" w:rsidRPr="00703807" w:rsidRDefault="00CD3678"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632,625</w:t>
            </w:r>
          </w:p>
        </w:tc>
      </w:tr>
      <w:tr w:rsidR="00CD3678" w:rsidRPr="00290B01" w14:paraId="43D63311" w14:textId="77777777" w:rsidTr="00CD3678">
        <w:trPr>
          <w:trHeight w:val="288"/>
        </w:trPr>
        <w:tc>
          <w:tcPr>
            <w:tcW w:w="5245" w:type="dxa"/>
            <w:tcBorders>
              <w:top w:val="nil"/>
              <w:left w:val="nil"/>
              <w:bottom w:val="nil"/>
              <w:right w:val="nil"/>
            </w:tcBorders>
            <w:shd w:val="clear" w:color="auto" w:fill="auto"/>
            <w:noWrap/>
            <w:vAlign w:val="bottom"/>
          </w:tcPr>
          <w:p w14:paraId="1312F942" w14:textId="5DFADCAD" w:rsidR="00CD3678" w:rsidRPr="00E209F8" w:rsidRDefault="00CD3678" w:rsidP="00CD3678">
            <w:pPr>
              <w:rPr>
                <w:rFonts w:eastAsia="Times New Roman" w:cs="Times New Roman"/>
                <w:color w:val="000000"/>
                <w:sz w:val="18"/>
                <w:szCs w:val="18"/>
                <w:lang w:eastAsia="en-GB"/>
              </w:rPr>
            </w:pPr>
            <w:r>
              <w:rPr>
                <w:rFonts w:eastAsia="Times New Roman" w:cs="Times New Roman"/>
                <w:color w:val="000000"/>
                <w:sz w:val="18"/>
                <w:szCs w:val="18"/>
                <w:lang w:eastAsia="en-GB"/>
              </w:rPr>
              <w:t>Incurred but not reported claims</w:t>
            </w:r>
          </w:p>
        </w:tc>
        <w:tc>
          <w:tcPr>
            <w:tcW w:w="709" w:type="dxa"/>
            <w:tcBorders>
              <w:top w:val="nil"/>
              <w:left w:val="nil"/>
              <w:bottom w:val="nil"/>
              <w:right w:val="nil"/>
            </w:tcBorders>
            <w:shd w:val="clear" w:color="auto" w:fill="auto"/>
            <w:noWrap/>
            <w:vAlign w:val="bottom"/>
          </w:tcPr>
          <w:p w14:paraId="59F12780" w14:textId="77777777" w:rsidR="00CD3678" w:rsidRPr="00290B01" w:rsidRDefault="00CD3678" w:rsidP="00CD3678">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13854121" w14:textId="2AD4440F" w:rsidR="00CD3678" w:rsidRPr="00703807" w:rsidRDefault="00203AE1" w:rsidP="00CD3678">
            <w:pPr>
              <w:jc w:val="right"/>
              <w:rPr>
                <w:rFonts w:eastAsia="Times New Roman" w:cs="Times New Roman"/>
                <w:b/>
                <w:bCs/>
                <w:sz w:val="18"/>
                <w:szCs w:val="18"/>
                <w:lang w:eastAsia="en-GB"/>
              </w:rPr>
            </w:pPr>
            <w:r w:rsidRPr="00703807">
              <w:rPr>
                <w:rFonts w:eastAsia="Times New Roman" w:cs="Times New Roman"/>
                <w:b/>
                <w:bCs/>
                <w:sz w:val="18"/>
                <w:szCs w:val="18"/>
                <w:lang w:eastAsia="en-GB"/>
              </w:rPr>
              <w:t>545,141</w:t>
            </w:r>
          </w:p>
        </w:tc>
        <w:tc>
          <w:tcPr>
            <w:tcW w:w="1560" w:type="dxa"/>
            <w:tcBorders>
              <w:top w:val="nil"/>
              <w:left w:val="nil"/>
              <w:bottom w:val="nil"/>
              <w:right w:val="nil"/>
            </w:tcBorders>
            <w:shd w:val="clear" w:color="auto" w:fill="auto"/>
            <w:noWrap/>
            <w:vAlign w:val="bottom"/>
          </w:tcPr>
          <w:p w14:paraId="7A204A7A" w14:textId="2FEA4E28" w:rsidR="00CD3678" w:rsidRPr="00703807" w:rsidRDefault="00CD3678"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525,861</w:t>
            </w:r>
          </w:p>
        </w:tc>
      </w:tr>
      <w:tr w:rsidR="00CD3678" w:rsidRPr="00290B01" w14:paraId="231A5DC4" w14:textId="77777777" w:rsidTr="00CD3678">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0B71D9B0" w14:textId="0084E540" w:rsidR="00CD3678" w:rsidRPr="00290B01" w:rsidRDefault="00CD3678" w:rsidP="00CD3678">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 xml:space="preserve">Total provision for claims </w:t>
            </w:r>
          </w:p>
        </w:tc>
        <w:tc>
          <w:tcPr>
            <w:tcW w:w="709" w:type="dxa"/>
            <w:tcBorders>
              <w:top w:val="single" w:sz="8" w:space="0" w:color="auto"/>
              <w:left w:val="nil"/>
              <w:bottom w:val="double" w:sz="6" w:space="0" w:color="auto"/>
              <w:right w:val="nil"/>
            </w:tcBorders>
            <w:shd w:val="clear" w:color="auto" w:fill="auto"/>
            <w:noWrap/>
            <w:vAlign w:val="bottom"/>
            <w:hideMark/>
          </w:tcPr>
          <w:p w14:paraId="29B8E57E" w14:textId="77777777" w:rsidR="00CD3678" w:rsidRPr="00290B01" w:rsidRDefault="00CD3678" w:rsidP="00CD3678">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3548E139" w14:textId="36E79794" w:rsidR="00CD3678" w:rsidRPr="00703807" w:rsidRDefault="00203AE1" w:rsidP="00CD3678">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1,526,644</w:t>
            </w:r>
          </w:p>
        </w:tc>
        <w:tc>
          <w:tcPr>
            <w:tcW w:w="1560" w:type="dxa"/>
            <w:tcBorders>
              <w:top w:val="single" w:sz="8" w:space="0" w:color="auto"/>
              <w:left w:val="nil"/>
              <w:bottom w:val="double" w:sz="6" w:space="0" w:color="auto"/>
              <w:right w:val="nil"/>
            </w:tcBorders>
            <w:shd w:val="clear" w:color="auto" w:fill="auto"/>
            <w:noWrap/>
            <w:vAlign w:val="bottom"/>
          </w:tcPr>
          <w:p w14:paraId="47F5285D" w14:textId="3D8F2215" w:rsidR="00CD3678" w:rsidRPr="00703807" w:rsidRDefault="00CD3678" w:rsidP="00CD3678">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1,158,486</w:t>
            </w:r>
          </w:p>
        </w:tc>
      </w:tr>
    </w:tbl>
    <w:p w14:paraId="3112567C" w14:textId="77777777" w:rsidR="00CD3678" w:rsidRDefault="00CD3678" w:rsidP="00CD3678">
      <w:pPr>
        <w:spacing w:before="120" w:after="120"/>
        <w:rPr>
          <w:sz w:val="18"/>
          <w:szCs w:val="18"/>
        </w:rPr>
      </w:pPr>
    </w:p>
    <w:p w14:paraId="52AA1855" w14:textId="77777777" w:rsidR="00CD3678" w:rsidRDefault="00CD3678" w:rsidP="00065112">
      <w:pPr>
        <w:pStyle w:val="ListParagraph"/>
        <w:numPr>
          <w:ilvl w:val="0"/>
          <w:numId w:val="1"/>
        </w:numPr>
        <w:spacing w:before="240" w:after="120"/>
        <w:ind w:left="357" w:hanging="357"/>
        <w:contextualSpacing w:val="0"/>
        <w:outlineLvl w:val="0"/>
        <w:rPr>
          <w:b/>
          <w:bCs/>
          <w:sz w:val="18"/>
          <w:szCs w:val="18"/>
        </w:rPr>
      </w:pPr>
      <w:bookmarkStart w:id="60" w:name="_Toc57894904"/>
      <w:r w:rsidRPr="00CD3678">
        <w:rPr>
          <w:b/>
          <w:bCs/>
          <w:sz w:val="18"/>
          <w:szCs w:val="18"/>
        </w:rPr>
        <w:t>Payables</w:t>
      </w:r>
      <w:bookmarkEnd w:id="60"/>
    </w:p>
    <w:tbl>
      <w:tblPr>
        <w:tblW w:w="8789" w:type="dxa"/>
        <w:tblLook w:val="04A0" w:firstRow="1" w:lastRow="0" w:firstColumn="1" w:lastColumn="0" w:noHBand="0" w:noVBand="1"/>
      </w:tblPr>
      <w:tblGrid>
        <w:gridCol w:w="5245"/>
        <w:gridCol w:w="709"/>
        <w:gridCol w:w="1275"/>
        <w:gridCol w:w="1560"/>
      </w:tblGrid>
      <w:tr w:rsidR="00065112" w:rsidRPr="00290B01" w14:paraId="0B54C8B3" w14:textId="77777777" w:rsidTr="00C4197C">
        <w:trPr>
          <w:trHeight w:val="305"/>
        </w:trPr>
        <w:tc>
          <w:tcPr>
            <w:tcW w:w="5245" w:type="dxa"/>
            <w:tcBorders>
              <w:top w:val="nil"/>
              <w:left w:val="nil"/>
              <w:bottom w:val="single" w:sz="8" w:space="0" w:color="auto"/>
              <w:right w:val="nil"/>
            </w:tcBorders>
            <w:shd w:val="clear" w:color="auto" w:fill="auto"/>
            <w:noWrap/>
            <w:vAlign w:val="center"/>
            <w:hideMark/>
          </w:tcPr>
          <w:p w14:paraId="1A6640EA" w14:textId="77777777" w:rsidR="00065112" w:rsidRPr="00290B01" w:rsidRDefault="00065112" w:rsidP="00C4197C">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5FD50109" w14:textId="77777777" w:rsidR="00065112" w:rsidRPr="00290B01" w:rsidRDefault="00065112" w:rsidP="00C4197C">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0995A0AC" w14:textId="01622069" w:rsidR="00065112" w:rsidRPr="00703807" w:rsidRDefault="00703807" w:rsidP="00C4197C">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31.12.</w:t>
            </w:r>
            <w:r w:rsidR="00065112" w:rsidRPr="00703807">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4C419743" w14:textId="0942544F" w:rsidR="00065112" w:rsidRPr="00703807" w:rsidRDefault="00703807" w:rsidP="00C4197C">
            <w:pPr>
              <w:jc w:val="right"/>
              <w:rPr>
                <w:rFonts w:eastAsia="Times New Roman" w:cs="Times New Roman"/>
                <w:color w:val="000000"/>
                <w:sz w:val="18"/>
                <w:szCs w:val="18"/>
                <w:lang w:eastAsia="en-GB"/>
              </w:rPr>
            </w:pPr>
            <w:r w:rsidRPr="00703807">
              <w:rPr>
                <w:rFonts w:eastAsia="Times New Roman" w:cs="Times New Roman"/>
                <w:color w:val="000000"/>
                <w:sz w:val="18"/>
                <w:szCs w:val="18"/>
                <w:lang w:eastAsia="en-GB"/>
              </w:rPr>
              <w:t>31.12.</w:t>
            </w:r>
            <w:r w:rsidR="00065112" w:rsidRPr="00703807">
              <w:rPr>
                <w:rFonts w:eastAsia="Times New Roman" w:cs="Times New Roman"/>
                <w:color w:val="000000"/>
                <w:sz w:val="18"/>
                <w:szCs w:val="18"/>
                <w:lang w:eastAsia="en-GB"/>
              </w:rPr>
              <w:t>2018</w:t>
            </w:r>
          </w:p>
        </w:tc>
      </w:tr>
      <w:tr w:rsidR="00065112" w:rsidRPr="00290B01" w14:paraId="2135EBB6" w14:textId="77777777" w:rsidTr="00C4197C">
        <w:trPr>
          <w:trHeight w:val="288"/>
        </w:trPr>
        <w:tc>
          <w:tcPr>
            <w:tcW w:w="5245" w:type="dxa"/>
            <w:tcBorders>
              <w:top w:val="nil"/>
              <w:left w:val="nil"/>
              <w:bottom w:val="nil"/>
              <w:right w:val="nil"/>
            </w:tcBorders>
            <w:shd w:val="clear" w:color="auto" w:fill="auto"/>
            <w:noWrap/>
            <w:vAlign w:val="bottom"/>
            <w:hideMark/>
          </w:tcPr>
          <w:p w14:paraId="4EA428F5" w14:textId="26CB21E1" w:rsidR="00065112" w:rsidRPr="00290B01" w:rsidRDefault="00065112" w:rsidP="00C4197C">
            <w:pPr>
              <w:rPr>
                <w:rFonts w:eastAsia="Times New Roman" w:cs="Times New Roman"/>
                <w:color w:val="000000"/>
                <w:sz w:val="18"/>
                <w:szCs w:val="18"/>
                <w:lang w:eastAsia="en-GB"/>
              </w:rPr>
            </w:pPr>
            <w:r>
              <w:rPr>
                <w:rFonts w:eastAsia="Times New Roman" w:cs="Times New Roman"/>
                <w:color w:val="000000"/>
                <w:sz w:val="18"/>
                <w:szCs w:val="18"/>
                <w:lang w:eastAsia="en-GB"/>
              </w:rPr>
              <w:t>Ceded reinsurance premiums payable</w:t>
            </w:r>
          </w:p>
        </w:tc>
        <w:tc>
          <w:tcPr>
            <w:tcW w:w="709" w:type="dxa"/>
            <w:tcBorders>
              <w:top w:val="nil"/>
              <w:left w:val="nil"/>
              <w:bottom w:val="nil"/>
              <w:right w:val="nil"/>
            </w:tcBorders>
            <w:shd w:val="clear" w:color="auto" w:fill="auto"/>
            <w:noWrap/>
            <w:vAlign w:val="bottom"/>
            <w:hideMark/>
          </w:tcPr>
          <w:p w14:paraId="0AC4261C" w14:textId="77777777" w:rsidR="00065112" w:rsidRPr="00290B01" w:rsidRDefault="00065112" w:rsidP="00C4197C">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21F6B141" w14:textId="116679EC" w:rsidR="00065112" w:rsidRPr="00703807" w:rsidRDefault="00203AE1" w:rsidP="00C4197C">
            <w:pPr>
              <w:jc w:val="right"/>
              <w:rPr>
                <w:rFonts w:eastAsia="Times New Roman" w:cs="Times New Roman"/>
                <w:b/>
                <w:bCs/>
                <w:sz w:val="18"/>
                <w:szCs w:val="18"/>
                <w:lang w:eastAsia="en-GB"/>
              </w:rPr>
            </w:pPr>
            <w:r w:rsidRPr="00703807">
              <w:rPr>
                <w:rFonts w:eastAsia="Times New Roman" w:cs="Times New Roman"/>
                <w:b/>
                <w:bCs/>
                <w:sz w:val="18"/>
                <w:szCs w:val="18"/>
                <w:lang w:eastAsia="en-GB"/>
              </w:rPr>
              <w:t>202,511</w:t>
            </w:r>
          </w:p>
        </w:tc>
        <w:tc>
          <w:tcPr>
            <w:tcW w:w="1560" w:type="dxa"/>
            <w:tcBorders>
              <w:top w:val="nil"/>
              <w:left w:val="nil"/>
              <w:bottom w:val="nil"/>
              <w:right w:val="nil"/>
            </w:tcBorders>
            <w:shd w:val="clear" w:color="auto" w:fill="auto"/>
            <w:noWrap/>
            <w:vAlign w:val="bottom"/>
          </w:tcPr>
          <w:p w14:paraId="0FFABD1E" w14:textId="3945A49B" w:rsidR="00065112" w:rsidRPr="00703807" w:rsidRDefault="00065112" w:rsidP="00C4197C">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208,388</w:t>
            </w:r>
          </w:p>
        </w:tc>
      </w:tr>
      <w:tr w:rsidR="00065112" w:rsidRPr="00290B01" w14:paraId="40594AB2" w14:textId="77777777" w:rsidTr="00C4197C">
        <w:trPr>
          <w:trHeight w:val="288"/>
        </w:trPr>
        <w:tc>
          <w:tcPr>
            <w:tcW w:w="5245" w:type="dxa"/>
            <w:tcBorders>
              <w:top w:val="nil"/>
              <w:left w:val="nil"/>
              <w:bottom w:val="nil"/>
              <w:right w:val="nil"/>
            </w:tcBorders>
            <w:shd w:val="clear" w:color="auto" w:fill="auto"/>
            <w:noWrap/>
            <w:vAlign w:val="bottom"/>
          </w:tcPr>
          <w:p w14:paraId="1B6B2928" w14:textId="7D5F04BA" w:rsidR="00065112" w:rsidRDefault="00065112" w:rsidP="00C4197C">
            <w:pPr>
              <w:rPr>
                <w:rFonts w:eastAsia="Times New Roman" w:cs="Times New Roman"/>
                <w:color w:val="000000"/>
                <w:sz w:val="18"/>
                <w:szCs w:val="18"/>
                <w:lang w:eastAsia="en-GB"/>
              </w:rPr>
            </w:pPr>
            <w:r>
              <w:rPr>
                <w:rFonts w:eastAsia="Times New Roman" w:cs="Times New Roman"/>
                <w:color w:val="000000"/>
                <w:sz w:val="18"/>
                <w:szCs w:val="18"/>
                <w:lang w:eastAsia="en-GB"/>
              </w:rPr>
              <w:t>Claims payable (Note 31)</w:t>
            </w:r>
          </w:p>
        </w:tc>
        <w:tc>
          <w:tcPr>
            <w:tcW w:w="709" w:type="dxa"/>
            <w:tcBorders>
              <w:top w:val="nil"/>
              <w:left w:val="nil"/>
              <w:bottom w:val="nil"/>
              <w:right w:val="nil"/>
            </w:tcBorders>
            <w:shd w:val="clear" w:color="auto" w:fill="auto"/>
            <w:noWrap/>
            <w:vAlign w:val="bottom"/>
          </w:tcPr>
          <w:p w14:paraId="7916B32D" w14:textId="77777777" w:rsidR="00065112" w:rsidRPr="00290B01" w:rsidRDefault="00065112" w:rsidP="00C4197C">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76E4C8C5" w14:textId="4F44981D" w:rsidR="00065112" w:rsidRPr="00703807" w:rsidRDefault="00203AE1" w:rsidP="00C4197C">
            <w:pPr>
              <w:jc w:val="right"/>
              <w:rPr>
                <w:rFonts w:eastAsia="Times New Roman" w:cs="Times New Roman"/>
                <w:b/>
                <w:bCs/>
                <w:sz w:val="18"/>
                <w:szCs w:val="18"/>
                <w:lang w:eastAsia="en-GB"/>
              </w:rPr>
            </w:pPr>
            <w:r w:rsidRPr="00703807">
              <w:rPr>
                <w:rFonts w:eastAsia="Times New Roman" w:cs="Times New Roman"/>
                <w:b/>
                <w:bCs/>
                <w:sz w:val="18"/>
                <w:szCs w:val="18"/>
                <w:lang w:eastAsia="en-GB"/>
              </w:rPr>
              <w:t>176,047</w:t>
            </w:r>
          </w:p>
        </w:tc>
        <w:tc>
          <w:tcPr>
            <w:tcW w:w="1560" w:type="dxa"/>
            <w:tcBorders>
              <w:top w:val="nil"/>
              <w:left w:val="nil"/>
              <w:bottom w:val="nil"/>
              <w:right w:val="nil"/>
            </w:tcBorders>
            <w:shd w:val="clear" w:color="auto" w:fill="auto"/>
            <w:noWrap/>
            <w:vAlign w:val="bottom"/>
          </w:tcPr>
          <w:p w14:paraId="41F71E7C" w14:textId="1199A7C9" w:rsidR="00065112" w:rsidRPr="00703807" w:rsidRDefault="00065112" w:rsidP="00C4197C">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157,693</w:t>
            </w:r>
          </w:p>
        </w:tc>
      </w:tr>
      <w:tr w:rsidR="00065112" w:rsidRPr="00290B01" w14:paraId="546A777C" w14:textId="77777777" w:rsidTr="00C4197C">
        <w:trPr>
          <w:trHeight w:val="288"/>
        </w:trPr>
        <w:tc>
          <w:tcPr>
            <w:tcW w:w="5245" w:type="dxa"/>
            <w:tcBorders>
              <w:top w:val="nil"/>
              <w:left w:val="nil"/>
              <w:bottom w:val="nil"/>
              <w:right w:val="nil"/>
            </w:tcBorders>
            <w:shd w:val="clear" w:color="auto" w:fill="auto"/>
            <w:noWrap/>
            <w:vAlign w:val="bottom"/>
          </w:tcPr>
          <w:p w14:paraId="6DC852FD" w14:textId="4B186D2E" w:rsidR="00065112" w:rsidRDefault="00065112" w:rsidP="00C4197C">
            <w:pPr>
              <w:rPr>
                <w:rFonts w:eastAsia="Times New Roman" w:cs="Times New Roman"/>
                <w:color w:val="000000"/>
                <w:sz w:val="18"/>
                <w:szCs w:val="18"/>
                <w:lang w:eastAsia="en-GB"/>
              </w:rPr>
            </w:pPr>
            <w:r>
              <w:rPr>
                <w:rFonts w:eastAsia="Times New Roman" w:cs="Times New Roman"/>
                <w:color w:val="000000"/>
                <w:sz w:val="18"/>
                <w:szCs w:val="18"/>
                <w:lang w:eastAsia="en-GB"/>
              </w:rPr>
              <w:t>Payable to agents</w:t>
            </w:r>
          </w:p>
        </w:tc>
        <w:tc>
          <w:tcPr>
            <w:tcW w:w="709" w:type="dxa"/>
            <w:tcBorders>
              <w:top w:val="nil"/>
              <w:left w:val="nil"/>
              <w:bottom w:val="nil"/>
              <w:right w:val="nil"/>
            </w:tcBorders>
            <w:shd w:val="clear" w:color="auto" w:fill="auto"/>
            <w:noWrap/>
            <w:vAlign w:val="bottom"/>
          </w:tcPr>
          <w:p w14:paraId="39249C36" w14:textId="77777777" w:rsidR="00065112" w:rsidRPr="00290B01" w:rsidRDefault="00065112" w:rsidP="00C4197C">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4C899776" w14:textId="4B029909" w:rsidR="00065112" w:rsidRPr="00703807" w:rsidRDefault="00203AE1" w:rsidP="00C4197C">
            <w:pPr>
              <w:jc w:val="right"/>
              <w:rPr>
                <w:rFonts w:eastAsia="Times New Roman" w:cs="Times New Roman"/>
                <w:b/>
                <w:bCs/>
                <w:sz w:val="18"/>
                <w:szCs w:val="18"/>
                <w:lang w:eastAsia="en-GB"/>
              </w:rPr>
            </w:pPr>
            <w:r w:rsidRPr="00703807">
              <w:rPr>
                <w:rFonts w:eastAsia="Times New Roman" w:cs="Times New Roman"/>
                <w:b/>
                <w:bCs/>
                <w:sz w:val="18"/>
                <w:szCs w:val="18"/>
                <w:lang w:eastAsia="en-GB"/>
              </w:rPr>
              <w:t>99,226</w:t>
            </w:r>
          </w:p>
        </w:tc>
        <w:tc>
          <w:tcPr>
            <w:tcW w:w="1560" w:type="dxa"/>
            <w:tcBorders>
              <w:top w:val="nil"/>
              <w:left w:val="nil"/>
              <w:bottom w:val="nil"/>
              <w:right w:val="nil"/>
            </w:tcBorders>
            <w:shd w:val="clear" w:color="auto" w:fill="auto"/>
            <w:noWrap/>
            <w:vAlign w:val="bottom"/>
          </w:tcPr>
          <w:p w14:paraId="55846D85" w14:textId="4C8CEBAC" w:rsidR="00065112" w:rsidRPr="00703807" w:rsidRDefault="00065112" w:rsidP="00C4197C">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18,838</w:t>
            </w:r>
          </w:p>
        </w:tc>
      </w:tr>
      <w:tr w:rsidR="00065112" w:rsidRPr="00290B01" w14:paraId="3A3D0455" w14:textId="77777777" w:rsidTr="00C4197C">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74DF164A" w14:textId="48740D7B" w:rsidR="00065112" w:rsidRPr="00290B01" w:rsidRDefault="00065112" w:rsidP="00C4197C">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Total payables</w:t>
            </w:r>
          </w:p>
        </w:tc>
        <w:tc>
          <w:tcPr>
            <w:tcW w:w="709" w:type="dxa"/>
            <w:tcBorders>
              <w:top w:val="single" w:sz="8" w:space="0" w:color="auto"/>
              <w:left w:val="nil"/>
              <w:bottom w:val="double" w:sz="6" w:space="0" w:color="auto"/>
              <w:right w:val="nil"/>
            </w:tcBorders>
            <w:shd w:val="clear" w:color="auto" w:fill="auto"/>
            <w:noWrap/>
            <w:vAlign w:val="bottom"/>
            <w:hideMark/>
          </w:tcPr>
          <w:p w14:paraId="2D670D85" w14:textId="77777777" w:rsidR="00065112" w:rsidRPr="00290B01" w:rsidRDefault="00065112" w:rsidP="00C4197C">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657E6BE0" w14:textId="402D655D" w:rsidR="00065112" w:rsidRPr="00703807" w:rsidRDefault="00203AE1" w:rsidP="00C4197C">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477,784</w:t>
            </w:r>
          </w:p>
        </w:tc>
        <w:tc>
          <w:tcPr>
            <w:tcW w:w="1560" w:type="dxa"/>
            <w:tcBorders>
              <w:top w:val="single" w:sz="8" w:space="0" w:color="auto"/>
              <w:left w:val="nil"/>
              <w:bottom w:val="double" w:sz="6" w:space="0" w:color="auto"/>
              <w:right w:val="nil"/>
            </w:tcBorders>
            <w:shd w:val="clear" w:color="auto" w:fill="auto"/>
            <w:noWrap/>
            <w:vAlign w:val="bottom"/>
          </w:tcPr>
          <w:p w14:paraId="3DFD51EF" w14:textId="3BD28238" w:rsidR="00065112" w:rsidRPr="00703807" w:rsidRDefault="00065112" w:rsidP="00C4197C">
            <w:pPr>
              <w:jc w:val="right"/>
              <w:rPr>
                <w:rFonts w:eastAsia="Times New Roman" w:cs="Times New Roman"/>
                <w:color w:val="000000"/>
                <w:sz w:val="18"/>
                <w:szCs w:val="18"/>
                <w:lang w:val="en-US" w:eastAsia="en-GB"/>
              </w:rPr>
            </w:pPr>
            <w:r w:rsidRPr="00703807">
              <w:rPr>
                <w:rFonts w:eastAsia="Times New Roman" w:cs="Times New Roman"/>
                <w:color w:val="000000"/>
                <w:sz w:val="18"/>
                <w:szCs w:val="18"/>
                <w:lang w:val="en-US" w:eastAsia="en-GB"/>
              </w:rPr>
              <w:t>384,919</w:t>
            </w:r>
          </w:p>
        </w:tc>
      </w:tr>
    </w:tbl>
    <w:p w14:paraId="012EF127" w14:textId="56D300A9" w:rsidR="00065112" w:rsidRPr="00065112" w:rsidRDefault="00065112" w:rsidP="00065112">
      <w:pPr>
        <w:spacing w:before="120" w:after="120"/>
        <w:jc w:val="both"/>
        <w:rPr>
          <w:sz w:val="18"/>
          <w:szCs w:val="18"/>
        </w:rPr>
      </w:pPr>
      <w:r w:rsidRPr="00065112">
        <w:rPr>
          <w:sz w:val="18"/>
          <w:szCs w:val="18"/>
        </w:rPr>
        <w:t>Claims payable to a related party, “</w:t>
      </w:r>
      <w:proofErr w:type="spellStart"/>
      <w:r w:rsidRPr="00065112">
        <w:rPr>
          <w:sz w:val="18"/>
          <w:szCs w:val="18"/>
        </w:rPr>
        <w:t>MediClub</w:t>
      </w:r>
      <w:proofErr w:type="spellEnd"/>
      <w:r w:rsidRPr="00065112">
        <w:rPr>
          <w:sz w:val="18"/>
          <w:szCs w:val="18"/>
        </w:rPr>
        <w:t xml:space="preserve">” LLC as per 31 December 2019 were </w:t>
      </w:r>
      <w:proofErr w:type="spellStart"/>
      <w:r w:rsidR="00203AE1">
        <w:rPr>
          <w:sz w:val="18"/>
          <w:szCs w:val="18"/>
        </w:rPr>
        <w:t>nill</w:t>
      </w:r>
      <w:proofErr w:type="spellEnd"/>
      <w:r w:rsidRPr="00065112">
        <w:rPr>
          <w:sz w:val="18"/>
          <w:szCs w:val="18"/>
        </w:rPr>
        <w:t xml:space="preserve"> (2018: AZN 73,296).</w:t>
      </w:r>
    </w:p>
    <w:p w14:paraId="14B6F5DA" w14:textId="77777777" w:rsidR="00065112" w:rsidRDefault="00065112" w:rsidP="00065112">
      <w:pPr>
        <w:rPr>
          <w:b/>
          <w:bCs/>
          <w:sz w:val="18"/>
          <w:szCs w:val="18"/>
        </w:rPr>
      </w:pPr>
    </w:p>
    <w:p w14:paraId="3547165A" w14:textId="77777777" w:rsidR="00065112" w:rsidRDefault="00065112" w:rsidP="00065112">
      <w:pPr>
        <w:pStyle w:val="ListParagraph"/>
        <w:numPr>
          <w:ilvl w:val="0"/>
          <w:numId w:val="1"/>
        </w:numPr>
        <w:spacing w:before="240" w:after="120"/>
        <w:ind w:left="357" w:hanging="357"/>
        <w:contextualSpacing w:val="0"/>
        <w:outlineLvl w:val="0"/>
        <w:rPr>
          <w:b/>
          <w:bCs/>
          <w:sz w:val="18"/>
          <w:szCs w:val="18"/>
        </w:rPr>
      </w:pPr>
      <w:bookmarkStart w:id="61" w:name="_Toc57894905"/>
      <w:r w:rsidRPr="00065112">
        <w:rPr>
          <w:b/>
          <w:bCs/>
          <w:sz w:val="18"/>
          <w:szCs w:val="18"/>
        </w:rPr>
        <w:t>Deferred commission income</w:t>
      </w:r>
      <w:bookmarkEnd w:id="61"/>
    </w:p>
    <w:tbl>
      <w:tblPr>
        <w:tblW w:w="8789" w:type="dxa"/>
        <w:tblLook w:val="04A0" w:firstRow="1" w:lastRow="0" w:firstColumn="1" w:lastColumn="0" w:noHBand="0" w:noVBand="1"/>
      </w:tblPr>
      <w:tblGrid>
        <w:gridCol w:w="5245"/>
        <w:gridCol w:w="709"/>
        <w:gridCol w:w="1275"/>
        <w:gridCol w:w="1560"/>
      </w:tblGrid>
      <w:tr w:rsidR="00065112" w:rsidRPr="00290B01" w14:paraId="2511B074" w14:textId="77777777" w:rsidTr="00C4197C">
        <w:trPr>
          <w:trHeight w:val="305"/>
        </w:trPr>
        <w:tc>
          <w:tcPr>
            <w:tcW w:w="5245" w:type="dxa"/>
            <w:tcBorders>
              <w:top w:val="nil"/>
              <w:left w:val="nil"/>
              <w:bottom w:val="single" w:sz="8" w:space="0" w:color="auto"/>
              <w:right w:val="nil"/>
            </w:tcBorders>
            <w:shd w:val="clear" w:color="auto" w:fill="auto"/>
            <w:noWrap/>
            <w:vAlign w:val="center"/>
            <w:hideMark/>
          </w:tcPr>
          <w:p w14:paraId="17C9C73C" w14:textId="77777777" w:rsidR="00065112" w:rsidRPr="00290B01" w:rsidRDefault="00065112" w:rsidP="00C4197C">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32ECF920" w14:textId="77777777" w:rsidR="00065112" w:rsidRPr="00290B01" w:rsidRDefault="00065112" w:rsidP="00C4197C">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481E2088" w14:textId="20245E0A" w:rsidR="00065112" w:rsidRPr="00ED4A6C" w:rsidRDefault="00065112" w:rsidP="00C4197C">
            <w:pPr>
              <w:jc w:val="right"/>
              <w:rPr>
                <w:rFonts w:eastAsia="Times New Roman" w:cs="Times New Roman"/>
                <w:b/>
                <w:bCs/>
                <w:color w:val="000000"/>
                <w:sz w:val="18"/>
                <w:szCs w:val="18"/>
                <w:lang w:eastAsia="en-GB"/>
              </w:rPr>
            </w:pPr>
            <w:r w:rsidRPr="00ED4A6C">
              <w:rPr>
                <w:rFonts w:eastAsia="Times New Roman" w:cs="Times New Roman"/>
                <w:b/>
                <w:bCs/>
                <w:color w:val="000000"/>
                <w:sz w:val="18"/>
                <w:szCs w:val="18"/>
                <w:lang w:eastAsia="en-GB"/>
              </w:rPr>
              <w:t>2019</w:t>
            </w:r>
          </w:p>
        </w:tc>
        <w:tc>
          <w:tcPr>
            <w:tcW w:w="1560" w:type="dxa"/>
            <w:tcBorders>
              <w:top w:val="nil"/>
              <w:left w:val="nil"/>
              <w:bottom w:val="single" w:sz="8" w:space="0" w:color="auto"/>
              <w:right w:val="nil"/>
            </w:tcBorders>
            <w:shd w:val="clear" w:color="auto" w:fill="auto"/>
            <w:noWrap/>
            <w:vAlign w:val="center"/>
            <w:hideMark/>
          </w:tcPr>
          <w:p w14:paraId="46D2EE6D" w14:textId="77777777" w:rsidR="00065112" w:rsidRPr="00ED4A6C" w:rsidRDefault="00065112" w:rsidP="00C4197C">
            <w:pPr>
              <w:jc w:val="right"/>
              <w:rPr>
                <w:rFonts w:eastAsia="Times New Roman" w:cs="Times New Roman"/>
                <w:color w:val="000000"/>
                <w:sz w:val="18"/>
                <w:szCs w:val="18"/>
                <w:lang w:eastAsia="en-GB"/>
              </w:rPr>
            </w:pPr>
            <w:r w:rsidRPr="00ED4A6C">
              <w:rPr>
                <w:rFonts w:eastAsia="Times New Roman" w:cs="Times New Roman"/>
                <w:color w:val="000000"/>
                <w:sz w:val="18"/>
                <w:szCs w:val="18"/>
                <w:lang w:eastAsia="en-GB"/>
              </w:rPr>
              <w:t>2018</w:t>
            </w:r>
          </w:p>
        </w:tc>
      </w:tr>
      <w:tr w:rsidR="00065112" w:rsidRPr="00290B01" w14:paraId="1908C8F1" w14:textId="77777777" w:rsidTr="00C4197C">
        <w:trPr>
          <w:trHeight w:val="288"/>
        </w:trPr>
        <w:tc>
          <w:tcPr>
            <w:tcW w:w="5245" w:type="dxa"/>
            <w:tcBorders>
              <w:top w:val="nil"/>
              <w:left w:val="nil"/>
              <w:bottom w:val="nil"/>
              <w:right w:val="nil"/>
            </w:tcBorders>
            <w:shd w:val="clear" w:color="auto" w:fill="auto"/>
            <w:noWrap/>
            <w:vAlign w:val="bottom"/>
            <w:hideMark/>
          </w:tcPr>
          <w:p w14:paraId="32AB1859" w14:textId="0E00A326" w:rsidR="00065112" w:rsidRPr="00290B01" w:rsidRDefault="00203AE1" w:rsidP="00C4197C">
            <w:pPr>
              <w:rPr>
                <w:rFonts w:eastAsia="Times New Roman" w:cs="Times New Roman"/>
                <w:color w:val="000000"/>
                <w:sz w:val="18"/>
                <w:szCs w:val="18"/>
                <w:lang w:eastAsia="en-GB"/>
              </w:rPr>
            </w:pPr>
            <w:r w:rsidRPr="00203AE1">
              <w:rPr>
                <w:rFonts w:eastAsia="Times New Roman" w:cs="Times New Roman"/>
                <w:color w:val="000000"/>
                <w:sz w:val="18"/>
                <w:szCs w:val="18"/>
                <w:lang w:eastAsia="en-GB"/>
              </w:rPr>
              <w:t>Deferred commission income at 1 January</w:t>
            </w:r>
          </w:p>
        </w:tc>
        <w:tc>
          <w:tcPr>
            <w:tcW w:w="709" w:type="dxa"/>
            <w:tcBorders>
              <w:top w:val="nil"/>
              <w:left w:val="nil"/>
              <w:bottom w:val="nil"/>
              <w:right w:val="nil"/>
            </w:tcBorders>
            <w:shd w:val="clear" w:color="auto" w:fill="auto"/>
            <w:noWrap/>
            <w:vAlign w:val="bottom"/>
            <w:hideMark/>
          </w:tcPr>
          <w:p w14:paraId="68D1EFBD" w14:textId="77777777" w:rsidR="00065112" w:rsidRPr="00290B01" w:rsidRDefault="00065112" w:rsidP="00C4197C">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58E70498" w14:textId="4D705BEE" w:rsidR="00065112" w:rsidRPr="00ED4A6C" w:rsidRDefault="00203AE1" w:rsidP="00C4197C">
            <w:pPr>
              <w:jc w:val="right"/>
              <w:rPr>
                <w:rFonts w:eastAsia="Times New Roman" w:cs="Times New Roman"/>
                <w:b/>
                <w:bCs/>
                <w:sz w:val="18"/>
                <w:szCs w:val="18"/>
                <w:lang w:eastAsia="en-GB"/>
              </w:rPr>
            </w:pPr>
            <w:r w:rsidRPr="00ED4A6C">
              <w:rPr>
                <w:rFonts w:eastAsia="Times New Roman" w:cs="Times New Roman"/>
                <w:b/>
                <w:bCs/>
                <w:sz w:val="18"/>
                <w:szCs w:val="18"/>
                <w:lang w:eastAsia="en-GB"/>
              </w:rPr>
              <w:t>59</w:t>
            </w:r>
            <w:r w:rsidR="00D64947" w:rsidRPr="00ED4A6C">
              <w:rPr>
                <w:rFonts w:eastAsia="Times New Roman" w:cs="Times New Roman"/>
                <w:b/>
                <w:bCs/>
                <w:sz w:val="18"/>
                <w:szCs w:val="18"/>
                <w:lang w:eastAsia="en-GB"/>
              </w:rPr>
              <w:t>,451</w:t>
            </w:r>
          </w:p>
        </w:tc>
        <w:tc>
          <w:tcPr>
            <w:tcW w:w="1560" w:type="dxa"/>
            <w:tcBorders>
              <w:top w:val="nil"/>
              <w:left w:val="nil"/>
              <w:bottom w:val="nil"/>
              <w:right w:val="nil"/>
            </w:tcBorders>
            <w:shd w:val="clear" w:color="auto" w:fill="auto"/>
            <w:noWrap/>
            <w:vAlign w:val="bottom"/>
          </w:tcPr>
          <w:p w14:paraId="31A81A61" w14:textId="79804DE4" w:rsidR="00065112" w:rsidRPr="00ED4A6C" w:rsidRDefault="00065112" w:rsidP="00C4197C">
            <w:pPr>
              <w:jc w:val="right"/>
              <w:rPr>
                <w:rFonts w:eastAsia="Times New Roman" w:cs="Times New Roman"/>
                <w:color w:val="000000"/>
                <w:sz w:val="18"/>
                <w:szCs w:val="18"/>
                <w:lang w:val="en-US" w:eastAsia="en-GB"/>
              </w:rPr>
            </w:pPr>
            <w:r w:rsidRPr="00ED4A6C">
              <w:rPr>
                <w:rFonts w:eastAsia="Times New Roman" w:cs="Times New Roman"/>
                <w:color w:val="000000"/>
                <w:sz w:val="18"/>
                <w:szCs w:val="18"/>
                <w:lang w:val="en-US" w:eastAsia="en-GB"/>
              </w:rPr>
              <w:t>52,623</w:t>
            </w:r>
          </w:p>
        </w:tc>
      </w:tr>
      <w:tr w:rsidR="00065112" w:rsidRPr="00290B01" w14:paraId="42A41680" w14:textId="77777777" w:rsidTr="00C4197C">
        <w:trPr>
          <w:trHeight w:val="288"/>
        </w:trPr>
        <w:tc>
          <w:tcPr>
            <w:tcW w:w="5245" w:type="dxa"/>
            <w:tcBorders>
              <w:top w:val="nil"/>
              <w:left w:val="nil"/>
              <w:bottom w:val="nil"/>
              <w:right w:val="nil"/>
            </w:tcBorders>
            <w:shd w:val="clear" w:color="auto" w:fill="auto"/>
            <w:noWrap/>
            <w:vAlign w:val="bottom"/>
          </w:tcPr>
          <w:p w14:paraId="7A0C36FD" w14:textId="6C0B3829" w:rsidR="00065112" w:rsidRPr="00E209F8" w:rsidRDefault="00D64947" w:rsidP="00C4197C">
            <w:pPr>
              <w:rPr>
                <w:rFonts w:eastAsia="Times New Roman" w:cs="Times New Roman"/>
                <w:color w:val="000000"/>
                <w:sz w:val="18"/>
                <w:szCs w:val="18"/>
                <w:lang w:eastAsia="en-GB"/>
              </w:rPr>
            </w:pPr>
            <w:r w:rsidRPr="00D64947">
              <w:rPr>
                <w:rFonts w:eastAsia="Times New Roman" w:cs="Times New Roman"/>
                <w:color w:val="000000"/>
                <w:sz w:val="18"/>
                <w:szCs w:val="18"/>
                <w:lang w:eastAsia="en-GB"/>
              </w:rPr>
              <w:t>Change in deferred commission income</w:t>
            </w:r>
            <w:r>
              <w:rPr>
                <w:rFonts w:eastAsia="Times New Roman" w:cs="Times New Roman"/>
                <w:color w:val="000000"/>
                <w:sz w:val="18"/>
                <w:szCs w:val="18"/>
                <w:lang w:eastAsia="en-GB"/>
              </w:rPr>
              <w:t xml:space="preserve"> for the period</w:t>
            </w:r>
          </w:p>
        </w:tc>
        <w:tc>
          <w:tcPr>
            <w:tcW w:w="709" w:type="dxa"/>
            <w:tcBorders>
              <w:top w:val="nil"/>
              <w:left w:val="nil"/>
              <w:bottom w:val="nil"/>
              <w:right w:val="nil"/>
            </w:tcBorders>
            <w:shd w:val="clear" w:color="auto" w:fill="auto"/>
            <w:noWrap/>
            <w:vAlign w:val="bottom"/>
          </w:tcPr>
          <w:p w14:paraId="41A6941A" w14:textId="77777777" w:rsidR="00065112" w:rsidRPr="00290B01" w:rsidRDefault="00065112" w:rsidP="00C4197C">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2E8C7D97" w14:textId="0DDF0C7F" w:rsidR="00065112" w:rsidRPr="00ED4A6C" w:rsidRDefault="00D64947" w:rsidP="00C4197C">
            <w:pPr>
              <w:jc w:val="right"/>
              <w:rPr>
                <w:rFonts w:eastAsia="Times New Roman" w:cs="Times New Roman"/>
                <w:b/>
                <w:bCs/>
                <w:sz w:val="18"/>
                <w:szCs w:val="18"/>
                <w:lang w:eastAsia="en-GB"/>
              </w:rPr>
            </w:pPr>
            <w:r w:rsidRPr="00ED4A6C">
              <w:rPr>
                <w:rFonts w:eastAsia="Times New Roman" w:cs="Times New Roman"/>
                <w:b/>
                <w:bCs/>
                <w:sz w:val="18"/>
                <w:szCs w:val="18"/>
                <w:lang w:eastAsia="en-GB"/>
              </w:rPr>
              <w:t>19,803</w:t>
            </w:r>
          </w:p>
        </w:tc>
        <w:tc>
          <w:tcPr>
            <w:tcW w:w="1560" w:type="dxa"/>
            <w:tcBorders>
              <w:top w:val="nil"/>
              <w:left w:val="nil"/>
              <w:bottom w:val="nil"/>
              <w:right w:val="nil"/>
            </w:tcBorders>
            <w:shd w:val="clear" w:color="auto" w:fill="auto"/>
            <w:noWrap/>
            <w:vAlign w:val="bottom"/>
          </w:tcPr>
          <w:p w14:paraId="5EBAE305" w14:textId="503C68D4" w:rsidR="00065112" w:rsidRPr="00ED4A6C" w:rsidRDefault="00065112" w:rsidP="00C4197C">
            <w:pPr>
              <w:jc w:val="right"/>
              <w:rPr>
                <w:rFonts w:eastAsia="Times New Roman" w:cs="Times New Roman"/>
                <w:color w:val="000000"/>
                <w:sz w:val="18"/>
                <w:szCs w:val="18"/>
                <w:lang w:val="en-US" w:eastAsia="en-GB"/>
              </w:rPr>
            </w:pPr>
            <w:r w:rsidRPr="00ED4A6C">
              <w:rPr>
                <w:rFonts w:eastAsia="Times New Roman" w:cs="Times New Roman"/>
                <w:color w:val="000000"/>
                <w:sz w:val="18"/>
                <w:szCs w:val="18"/>
                <w:lang w:val="en-US" w:eastAsia="en-GB"/>
              </w:rPr>
              <w:t>6,828</w:t>
            </w:r>
          </w:p>
        </w:tc>
      </w:tr>
      <w:tr w:rsidR="00065112" w:rsidRPr="00290B01" w14:paraId="14D32351" w14:textId="77777777" w:rsidTr="00C4197C">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2C00049E" w14:textId="1C7C8B26" w:rsidR="00065112" w:rsidRPr="00290B01" w:rsidRDefault="00D64947" w:rsidP="00C4197C">
            <w:pPr>
              <w:rPr>
                <w:rFonts w:eastAsia="Times New Roman" w:cs="Times New Roman"/>
                <w:b/>
                <w:bCs/>
                <w:color w:val="000000"/>
                <w:sz w:val="18"/>
                <w:szCs w:val="18"/>
                <w:lang w:eastAsia="en-GB"/>
              </w:rPr>
            </w:pPr>
            <w:r w:rsidRPr="00D64947">
              <w:rPr>
                <w:rFonts w:eastAsia="Times New Roman" w:cs="Times New Roman"/>
                <w:b/>
                <w:bCs/>
                <w:color w:val="000000"/>
                <w:sz w:val="18"/>
                <w:szCs w:val="18"/>
                <w:lang w:eastAsia="en-GB"/>
              </w:rPr>
              <w:t xml:space="preserve">Deferred commission income at </w:t>
            </w:r>
            <w:r>
              <w:rPr>
                <w:rFonts w:eastAsia="Times New Roman" w:cs="Times New Roman"/>
                <w:b/>
                <w:bCs/>
                <w:color w:val="000000"/>
                <w:sz w:val="18"/>
                <w:szCs w:val="18"/>
                <w:lang w:eastAsia="en-GB"/>
              </w:rPr>
              <w:t>31 December</w:t>
            </w:r>
          </w:p>
        </w:tc>
        <w:tc>
          <w:tcPr>
            <w:tcW w:w="709" w:type="dxa"/>
            <w:tcBorders>
              <w:top w:val="single" w:sz="8" w:space="0" w:color="auto"/>
              <w:left w:val="nil"/>
              <w:bottom w:val="double" w:sz="6" w:space="0" w:color="auto"/>
              <w:right w:val="nil"/>
            </w:tcBorders>
            <w:shd w:val="clear" w:color="auto" w:fill="auto"/>
            <w:noWrap/>
            <w:vAlign w:val="bottom"/>
            <w:hideMark/>
          </w:tcPr>
          <w:p w14:paraId="17BDEC41" w14:textId="77777777" w:rsidR="00065112" w:rsidRPr="00290B01" w:rsidRDefault="00065112" w:rsidP="00C4197C">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6C1D3EB2" w14:textId="7D2225D1" w:rsidR="00065112" w:rsidRPr="00ED4A6C" w:rsidRDefault="00D64947" w:rsidP="00C4197C">
            <w:pPr>
              <w:jc w:val="right"/>
              <w:rPr>
                <w:rFonts w:eastAsia="Times New Roman" w:cs="Times New Roman"/>
                <w:b/>
                <w:bCs/>
                <w:color w:val="000000"/>
                <w:sz w:val="18"/>
                <w:szCs w:val="18"/>
                <w:lang w:eastAsia="en-GB"/>
              </w:rPr>
            </w:pPr>
            <w:r w:rsidRPr="00ED4A6C">
              <w:rPr>
                <w:rFonts w:eastAsia="Times New Roman" w:cs="Times New Roman"/>
                <w:b/>
                <w:bCs/>
                <w:color w:val="000000"/>
                <w:sz w:val="18"/>
                <w:szCs w:val="18"/>
                <w:lang w:eastAsia="en-GB"/>
              </w:rPr>
              <w:t>79,254</w:t>
            </w:r>
          </w:p>
        </w:tc>
        <w:tc>
          <w:tcPr>
            <w:tcW w:w="1560" w:type="dxa"/>
            <w:tcBorders>
              <w:top w:val="single" w:sz="8" w:space="0" w:color="auto"/>
              <w:left w:val="nil"/>
              <w:bottom w:val="double" w:sz="6" w:space="0" w:color="auto"/>
              <w:right w:val="nil"/>
            </w:tcBorders>
            <w:shd w:val="clear" w:color="auto" w:fill="auto"/>
            <w:noWrap/>
            <w:vAlign w:val="bottom"/>
          </w:tcPr>
          <w:p w14:paraId="38FB1EA3" w14:textId="688098A6" w:rsidR="00065112" w:rsidRPr="00ED4A6C" w:rsidRDefault="00065112" w:rsidP="00C4197C">
            <w:pPr>
              <w:jc w:val="right"/>
              <w:rPr>
                <w:rFonts w:eastAsia="Times New Roman" w:cs="Times New Roman"/>
                <w:color w:val="000000"/>
                <w:sz w:val="18"/>
                <w:szCs w:val="18"/>
                <w:lang w:val="en-US" w:eastAsia="en-GB"/>
              </w:rPr>
            </w:pPr>
            <w:r w:rsidRPr="00ED4A6C">
              <w:rPr>
                <w:rFonts w:eastAsia="Times New Roman" w:cs="Times New Roman"/>
                <w:color w:val="000000"/>
                <w:sz w:val="18"/>
                <w:szCs w:val="18"/>
                <w:lang w:val="en-US" w:eastAsia="en-GB"/>
              </w:rPr>
              <w:t>59,451</w:t>
            </w:r>
          </w:p>
        </w:tc>
      </w:tr>
    </w:tbl>
    <w:p w14:paraId="7C6EC39A" w14:textId="77777777" w:rsidR="00065112" w:rsidRDefault="00065112" w:rsidP="00065112">
      <w:pPr>
        <w:spacing w:before="120" w:after="120"/>
        <w:rPr>
          <w:b/>
          <w:bCs/>
          <w:sz w:val="18"/>
          <w:szCs w:val="18"/>
        </w:rPr>
      </w:pPr>
    </w:p>
    <w:p w14:paraId="5B299A81" w14:textId="79268E5F" w:rsidR="00ED4A6C" w:rsidRDefault="00ED4A6C" w:rsidP="00065112">
      <w:pPr>
        <w:pStyle w:val="ListParagraph"/>
        <w:numPr>
          <w:ilvl w:val="0"/>
          <w:numId w:val="1"/>
        </w:numPr>
        <w:spacing w:before="240" w:after="120"/>
        <w:ind w:left="357" w:hanging="357"/>
        <w:contextualSpacing w:val="0"/>
        <w:outlineLvl w:val="0"/>
        <w:rPr>
          <w:b/>
          <w:bCs/>
          <w:sz w:val="18"/>
          <w:szCs w:val="18"/>
        </w:rPr>
      </w:pPr>
      <w:bookmarkStart w:id="62" w:name="_Toc57894906"/>
      <w:r>
        <w:rPr>
          <w:b/>
          <w:bCs/>
          <w:sz w:val="18"/>
          <w:szCs w:val="18"/>
        </w:rPr>
        <w:t>Other liabilities</w:t>
      </w:r>
      <w:bookmarkEnd w:id="62"/>
    </w:p>
    <w:tbl>
      <w:tblPr>
        <w:tblW w:w="8789" w:type="dxa"/>
        <w:tblLook w:val="04A0" w:firstRow="1" w:lastRow="0" w:firstColumn="1" w:lastColumn="0" w:noHBand="0" w:noVBand="1"/>
      </w:tblPr>
      <w:tblGrid>
        <w:gridCol w:w="5245"/>
        <w:gridCol w:w="709"/>
        <w:gridCol w:w="1275"/>
        <w:gridCol w:w="1560"/>
      </w:tblGrid>
      <w:tr w:rsidR="00ED4A6C" w:rsidRPr="00290B01" w14:paraId="60CB92FB" w14:textId="77777777" w:rsidTr="00B344C3">
        <w:trPr>
          <w:trHeight w:val="305"/>
        </w:trPr>
        <w:tc>
          <w:tcPr>
            <w:tcW w:w="5245" w:type="dxa"/>
            <w:tcBorders>
              <w:top w:val="nil"/>
              <w:left w:val="nil"/>
              <w:bottom w:val="single" w:sz="8" w:space="0" w:color="auto"/>
              <w:right w:val="nil"/>
            </w:tcBorders>
            <w:shd w:val="clear" w:color="auto" w:fill="auto"/>
            <w:noWrap/>
            <w:vAlign w:val="center"/>
            <w:hideMark/>
          </w:tcPr>
          <w:p w14:paraId="79B2D3C8" w14:textId="77777777" w:rsidR="00ED4A6C" w:rsidRPr="00290B01" w:rsidRDefault="00ED4A6C" w:rsidP="00B344C3">
            <w:pPr>
              <w:jc w:val="right"/>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709" w:type="dxa"/>
            <w:tcBorders>
              <w:top w:val="nil"/>
              <w:left w:val="nil"/>
              <w:bottom w:val="single" w:sz="8" w:space="0" w:color="auto"/>
              <w:right w:val="nil"/>
            </w:tcBorders>
            <w:shd w:val="clear" w:color="auto" w:fill="auto"/>
            <w:noWrap/>
            <w:vAlign w:val="center"/>
            <w:hideMark/>
          </w:tcPr>
          <w:p w14:paraId="5C73A51A" w14:textId="77777777" w:rsidR="00ED4A6C" w:rsidRPr="00290B01" w:rsidRDefault="00ED4A6C" w:rsidP="00B344C3">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nil"/>
              <w:left w:val="nil"/>
              <w:bottom w:val="single" w:sz="8" w:space="0" w:color="auto"/>
              <w:right w:val="nil"/>
            </w:tcBorders>
            <w:shd w:val="clear" w:color="auto" w:fill="auto"/>
            <w:noWrap/>
            <w:vAlign w:val="center"/>
            <w:hideMark/>
          </w:tcPr>
          <w:p w14:paraId="5B91C39D" w14:textId="77777777" w:rsidR="00ED4A6C" w:rsidRPr="00703807" w:rsidRDefault="00ED4A6C" w:rsidP="00B344C3">
            <w:pPr>
              <w:jc w:val="right"/>
              <w:rPr>
                <w:rFonts w:eastAsia="Times New Roman" w:cs="Times New Roman"/>
                <w:b/>
                <w:bCs/>
                <w:color w:val="000000"/>
                <w:sz w:val="18"/>
                <w:szCs w:val="18"/>
                <w:lang w:eastAsia="en-GB"/>
              </w:rPr>
            </w:pPr>
            <w:r w:rsidRPr="00703807">
              <w:rPr>
                <w:rFonts w:eastAsia="Times New Roman" w:cs="Times New Roman"/>
                <w:b/>
                <w:bCs/>
                <w:color w:val="000000"/>
                <w:sz w:val="18"/>
                <w:szCs w:val="18"/>
                <w:lang w:eastAsia="en-GB"/>
              </w:rPr>
              <w:t>31.12.2019</w:t>
            </w:r>
          </w:p>
        </w:tc>
        <w:tc>
          <w:tcPr>
            <w:tcW w:w="1560" w:type="dxa"/>
            <w:tcBorders>
              <w:top w:val="nil"/>
              <w:left w:val="nil"/>
              <w:bottom w:val="single" w:sz="8" w:space="0" w:color="auto"/>
              <w:right w:val="nil"/>
            </w:tcBorders>
            <w:shd w:val="clear" w:color="auto" w:fill="auto"/>
            <w:noWrap/>
            <w:vAlign w:val="center"/>
            <w:hideMark/>
          </w:tcPr>
          <w:p w14:paraId="020A50D4" w14:textId="77777777" w:rsidR="00ED4A6C" w:rsidRPr="00703807" w:rsidRDefault="00ED4A6C" w:rsidP="00B344C3">
            <w:pPr>
              <w:jc w:val="right"/>
              <w:rPr>
                <w:rFonts w:eastAsia="Times New Roman" w:cs="Times New Roman"/>
                <w:color w:val="000000"/>
                <w:sz w:val="18"/>
                <w:szCs w:val="18"/>
                <w:lang w:eastAsia="en-GB"/>
              </w:rPr>
            </w:pPr>
            <w:r w:rsidRPr="00703807">
              <w:rPr>
                <w:rFonts w:eastAsia="Times New Roman" w:cs="Times New Roman"/>
                <w:color w:val="000000"/>
                <w:sz w:val="18"/>
                <w:szCs w:val="18"/>
                <w:lang w:eastAsia="en-GB"/>
              </w:rPr>
              <w:t>31.12.2018</w:t>
            </w:r>
          </w:p>
        </w:tc>
      </w:tr>
      <w:tr w:rsidR="00ED4A6C" w:rsidRPr="00290B01" w14:paraId="421A9EF4" w14:textId="77777777" w:rsidTr="00B344C3">
        <w:trPr>
          <w:trHeight w:val="288"/>
        </w:trPr>
        <w:tc>
          <w:tcPr>
            <w:tcW w:w="5245" w:type="dxa"/>
            <w:tcBorders>
              <w:top w:val="nil"/>
              <w:left w:val="nil"/>
              <w:bottom w:val="nil"/>
              <w:right w:val="nil"/>
            </w:tcBorders>
            <w:shd w:val="clear" w:color="auto" w:fill="auto"/>
            <w:noWrap/>
            <w:vAlign w:val="bottom"/>
            <w:hideMark/>
          </w:tcPr>
          <w:p w14:paraId="7CD28957" w14:textId="25534A52" w:rsidR="00ED4A6C" w:rsidRPr="00290B01" w:rsidRDefault="008F38F1" w:rsidP="00B344C3">
            <w:pPr>
              <w:rPr>
                <w:rFonts w:eastAsia="Times New Roman" w:cs="Times New Roman"/>
                <w:color w:val="000000"/>
                <w:sz w:val="18"/>
                <w:szCs w:val="18"/>
                <w:lang w:eastAsia="en-GB"/>
              </w:rPr>
            </w:pPr>
            <w:r>
              <w:rPr>
                <w:rFonts w:eastAsia="Times New Roman" w:cs="Times New Roman"/>
                <w:color w:val="000000"/>
                <w:sz w:val="18"/>
                <w:szCs w:val="18"/>
                <w:lang w:eastAsia="en-GB"/>
              </w:rPr>
              <w:t>Payable to insurer regulator</w:t>
            </w:r>
          </w:p>
        </w:tc>
        <w:tc>
          <w:tcPr>
            <w:tcW w:w="709" w:type="dxa"/>
            <w:tcBorders>
              <w:top w:val="nil"/>
              <w:left w:val="nil"/>
              <w:bottom w:val="nil"/>
              <w:right w:val="nil"/>
            </w:tcBorders>
            <w:shd w:val="clear" w:color="auto" w:fill="auto"/>
            <w:noWrap/>
            <w:vAlign w:val="bottom"/>
            <w:hideMark/>
          </w:tcPr>
          <w:p w14:paraId="33EBBD80" w14:textId="77777777" w:rsidR="00ED4A6C" w:rsidRPr="00290B01" w:rsidRDefault="00ED4A6C" w:rsidP="00B344C3">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75D1AABE" w14:textId="50CBFB49" w:rsidR="00ED4A6C" w:rsidRPr="008F38F1" w:rsidRDefault="008F38F1" w:rsidP="00B344C3">
            <w:pPr>
              <w:jc w:val="right"/>
              <w:rPr>
                <w:rFonts w:eastAsia="Times New Roman" w:cs="Times New Roman"/>
                <w:b/>
                <w:bCs/>
                <w:sz w:val="18"/>
                <w:szCs w:val="18"/>
                <w:lang w:val="en-US" w:eastAsia="en-GB"/>
              </w:rPr>
            </w:pPr>
            <w:r>
              <w:rPr>
                <w:rFonts w:eastAsia="Times New Roman" w:cs="Times New Roman"/>
                <w:b/>
                <w:bCs/>
                <w:sz w:val="18"/>
                <w:szCs w:val="18"/>
                <w:lang w:val="ru-RU" w:eastAsia="en-GB"/>
              </w:rPr>
              <w:t>63,289</w:t>
            </w:r>
          </w:p>
        </w:tc>
        <w:tc>
          <w:tcPr>
            <w:tcW w:w="1560" w:type="dxa"/>
            <w:tcBorders>
              <w:top w:val="nil"/>
              <w:left w:val="nil"/>
              <w:bottom w:val="nil"/>
              <w:right w:val="nil"/>
            </w:tcBorders>
            <w:shd w:val="clear" w:color="auto" w:fill="auto"/>
            <w:noWrap/>
            <w:vAlign w:val="bottom"/>
          </w:tcPr>
          <w:p w14:paraId="079033A9" w14:textId="2757FF97" w:rsidR="00ED4A6C" w:rsidRPr="00703807" w:rsidRDefault="008F38F1" w:rsidP="00B344C3">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18,689</w:t>
            </w:r>
          </w:p>
        </w:tc>
      </w:tr>
      <w:tr w:rsidR="00ED4A6C" w:rsidRPr="00290B01" w14:paraId="17C6A720" w14:textId="77777777" w:rsidTr="00B344C3">
        <w:trPr>
          <w:trHeight w:val="288"/>
        </w:trPr>
        <w:tc>
          <w:tcPr>
            <w:tcW w:w="5245" w:type="dxa"/>
            <w:tcBorders>
              <w:top w:val="nil"/>
              <w:left w:val="nil"/>
              <w:bottom w:val="nil"/>
              <w:right w:val="nil"/>
            </w:tcBorders>
            <w:shd w:val="clear" w:color="auto" w:fill="auto"/>
            <w:noWrap/>
            <w:vAlign w:val="bottom"/>
          </w:tcPr>
          <w:p w14:paraId="1250D833" w14:textId="6C81399A" w:rsidR="00ED4A6C" w:rsidRDefault="00ED4A6C" w:rsidP="00B344C3">
            <w:pPr>
              <w:rPr>
                <w:rFonts w:eastAsia="Times New Roman" w:cs="Times New Roman"/>
                <w:color w:val="000000"/>
                <w:sz w:val="18"/>
                <w:szCs w:val="18"/>
                <w:lang w:eastAsia="en-GB"/>
              </w:rPr>
            </w:pPr>
            <w:r>
              <w:rPr>
                <w:rFonts w:eastAsia="Times New Roman" w:cs="Times New Roman"/>
                <w:color w:val="000000"/>
                <w:sz w:val="18"/>
                <w:szCs w:val="18"/>
                <w:lang w:eastAsia="en-GB"/>
              </w:rPr>
              <w:t>Provision for unused leaves</w:t>
            </w:r>
          </w:p>
        </w:tc>
        <w:tc>
          <w:tcPr>
            <w:tcW w:w="709" w:type="dxa"/>
            <w:tcBorders>
              <w:top w:val="nil"/>
              <w:left w:val="nil"/>
              <w:bottom w:val="nil"/>
              <w:right w:val="nil"/>
            </w:tcBorders>
            <w:shd w:val="clear" w:color="auto" w:fill="auto"/>
            <w:noWrap/>
            <w:vAlign w:val="bottom"/>
          </w:tcPr>
          <w:p w14:paraId="4282E309" w14:textId="77777777" w:rsidR="00ED4A6C" w:rsidRPr="00290B01" w:rsidRDefault="00ED4A6C" w:rsidP="00B344C3">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324CA730" w14:textId="185CBAB3" w:rsidR="00ED4A6C" w:rsidRPr="008F38F1" w:rsidRDefault="008F38F1" w:rsidP="00B344C3">
            <w:pPr>
              <w:jc w:val="right"/>
              <w:rPr>
                <w:rFonts w:eastAsia="Times New Roman" w:cs="Times New Roman"/>
                <w:b/>
                <w:bCs/>
                <w:sz w:val="18"/>
                <w:szCs w:val="18"/>
                <w:lang w:val="ru-RU" w:eastAsia="en-GB"/>
              </w:rPr>
            </w:pPr>
            <w:r>
              <w:rPr>
                <w:rFonts w:eastAsia="Times New Roman" w:cs="Times New Roman"/>
                <w:b/>
                <w:bCs/>
                <w:sz w:val="18"/>
                <w:szCs w:val="18"/>
                <w:lang w:val="ru-RU" w:eastAsia="en-GB"/>
              </w:rPr>
              <w:t>49,249</w:t>
            </w:r>
          </w:p>
        </w:tc>
        <w:tc>
          <w:tcPr>
            <w:tcW w:w="1560" w:type="dxa"/>
            <w:tcBorders>
              <w:top w:val="nil"/>
              <w:left w:val="nil"/>
              <w:bottom w:val="nil"/>
              <w:right w:val="nil"/>
            </w:tcBorders>
            <w:shd w:val="clear" w:color="auto" w:fill="auto"/>
            <w:noWrap/>
            <w:vAlign w:val="bottom"/>
          </w:tcPr>
          <w:p w14:paraId="41B6AAE3" w14:textId="0F823990" w:rsidR="00ED4A6C" w:rsidRPr="00703807" w:rsidRDefault="008F38F1" w:rsidP="00B344C3">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38,992</w:t>
            </w:r>
          </w:p>
        </w:tc>
      </w:tr>
      <w:tr w:rsidR="00ED4A6C" w:rsidRPr="00290B01" w14:paraId="3D584DA6" w14:textId="77777777" w:rsidTr="00B344C3">
        <w:trPr>
          <w:trHeight w:val="288"/>
        </w:trPr>
        <w:tc>
          <w:tcPr>
            <w:tcW w:w="5245" w:type="dxa"/>
            <w:tcBorders>
              <w:top w:val="nil"/>
              <w:left w:val="nil"/>
              <w:bottom w:val="nil"/>
              <w:right w:val="nil"/>
            </w:tcBorders>
            <w:shd w:val="clear" w:color="auto" w:fill="auto"/>
            <w:noWrap/>
            <w:vAlign w:val="bottom"/>
          </w:tcPr>
          <w:p w14:paraId="3B06363D" w14:textId="741433F6" w:rsidR="00ED4A6C" w:rsidRDefault="00ED4A6C" w:rsidP="00B344C3">
            <w:pPr>
              <w:rPr>
                <w:rFonts w:eastAsia="Times New Roman" w:cs="Times New Roman"/>
                <w:color w:val="000000"/>
                <w:sz w:val="18"/>
                <w:szCs w:val="18"/>
                <w:lang w:eastAsia="en-GB"/>
              </w:rPr>
            </w:pPr>
            <w:r>
              <w:rPr>
                <w:rFonts w:eastAsia="Times New Roman" w:cs="Times New Roman"/>
                <w:color w:val="000000"/>
                <w:sz w:val="18"/>
                <w:szCs w:val="18"/>
                <w:lang w:eastAsia="en-GB"/>
              </w:rPr>
              <w:t>Advances received</w:t>
            </w:r>
          </w:p>
        </w:tc>
        <w:tc>
          <w:tcPr>
            <w:tcW w:w="709" w:type="dxa"/>
            <w:tcBorders>
              <w:top w:val="nil"/>
              <w:left w:val="nil"/>
              <w:bottom w:val="nil"/>
              <w:right w:val="nil"/>
            </w:tcBorders>
            <w:shd w:val="clear" w:color="auto" w:fill="auto"/>
            <w:noWrap/>
            <w:vAlign w:val="bottom"/>
          </w:tcPr>
          <w:p w14:paraId="785BA42A" w14:textId="77777777" w:rsidR="00ED4A6C" w:rsidRPr="00290B01" w:rsidRDefault="00ED4A6C" w:rsidP="00B344C3">
            <w:pPr>
              <w:rPr>
                <w:rFonts w:eastAsia="Times New Roman" w:cs="Times New Roman"/>
                <w:color w:val="000000"/>
                <w:sz w:val="18"/>
                <w:szCs w:val="18"/>
                <w:lang w:eastAsia="en-GB"/>
              </w:rPr>
            </w:pPr>
          </w:p>
        </w:tc>
        <w:tc>
          <w:tcPr>
            <w:tcW w:w="1275" w:type="dxa"/>
            <w:tcBorders>
              <w:top w:val="nil"/>
              <w:left w:val="nil"/>
              <w:bottom w:val="nil"/>
              <w:right w:val="nil"/>
            </w:tcBorders>
            <w:shd w:val="clear" w:color="auto" w:fill="auto"/>
            <w:noWrap/>
            <w:vAlign w:val="bottom"/>
          </w:tcPr>
          <w:p w14:paraId="6EB5CF93" w14:textId="410759DD" w:rsidR="00ED4A6C" w:rsidRPr="008F38F1" w:rsidRDefault="008F38F1" w:rsidP="00B344C3">
            <w:pPr>
              <w:jc w:val="right"/>
              <w:rPr>
                <w:rFonts w:eastAsia="Times New Roman" w:cs="Times New Roman"/>
                <w:b/>
                <w:bCs/>
                <w:sz w:val="18"/>
                <w:szCs w:val="18"/>
                <w:lang w:val="ru-RU" w:eastAsia="en-GB"/>
              </w:rPr>
            </w:pPr>
            <w:r>
              <w:rPr>
                <w:rFonts w:eastAsia="Times New Roman" w:cs="Times New Roman"/>
                <w:b/>
                <w:bCs/>
                <w:sz w:val="18"/>
                <w:szCs w:val="18"/>
                <w:lang w:val="ru-RU" w:eastAsia="en-GB"/>
              </w:rPr>
              <w:t>75,645</w:t>
            </w:r>
          </w:p>
        </w:tc>
        <w:tc>
          <w:tcPr>
            <w:tcW w:w="1560" w:type="dxa"/>
            <w:tcBorders>
              <w:top w:val="nil"/>
              <w:left w:val="nil"/>
              <w:bottom w:val="nil"/>
              <w:right w:val="nil"/>
            </w:tcBorders>
            <w:shd w:val="clear" w:color="auto" w:fill="auto"/>
            <w:noWrap/>
            <w:vAlign w:val="bottom"/>
          </w:tcPr>
          <w:p w14:paraId="4FE91F08" w14:textId="3F39F956" w:rsidR="00ED4A6C" w:rsidRPr="00703807" w:rsidRDefault="008F38F1" w:rsidP="00B344C3">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138,111</w:t>
            </w:r>
          </w:p>
        </w:tc>
      </w:tr>
      <w:tr w:rsidR="00ED4A6C" w:rsidRPr="00290B01" w14:paraId="38972557" w14:textId="77777777" w:rsidTr="00B344C3">
        <w:trPr>
          <w:trHeight w:val="300"/>
        </w:trPr>
        <w:tc>
          <w:tcPr>
            <w:tcW w:w="5245" w:type="dxa"/>
            <w:tcBorders>
              <w:top w:val="single" w:sz="8" w:space="0" w:color="auto"/>
              <w:left w:val="nil"/>
              <w:bottom w:val="double" w:sz="6" w:space="0" w:color="auto"/>
              <w:right w:val="nil"/>
            </w:tcBorders>
            <w:shd w:val="clear" w:color="auto" w:fill="auto"/>
            <w:noWrap/>
            <w:vAlign w:val="bottom"/>
            <w:hideMark/>
          </w:tcPr>
          <w:p w14:paraId="7FA7A7AD" w14:textId="77777777" w:rsidR="00ED4A6C" w:rsidRPr="00290B01" w:rsidRDefault="00ED4A6C" w:rsidP="00B344C3">
            <w:pPr>
              <w:rPr>
                <w:rFonts w:eastAsia="Times New Roman" w:cs="Times New Roman"/>
                <w:b/>
                <w:bCs/>
                <w:color w:val="000000"/>
                <w:sz w:val="18"/>
                <w:szCs w:val="18"/>
                <w:lang w:eastAsia="en-GB"/>
              </w:rPr>
            </w:pPr>
            <w:r>
              <w:rPr>
                <w:rFonts w:eastAsia="Times New Roman" w:cs="Times New Roman"/>
                <w:b/>
                <w:bCs/>
                <w:color w:val="000000"/>
                <w:sz w:val="18"/>
                <w:szCs w:val="18"/>
                <w:lang w:eastAsia="en-GB"/>
              </w:rPr>
              <w:t>Total payables</w:t>
            </w:r>
          </w:p>
        </w:tc>
        <w:tc>
          <w:tcPr>
            <w:tcW w:w="709" w:type="dxa"/>
            <w:tcBorders>
              <w:top w:val="single" w:sz="8" w:space="0" w:color="auto"/>
              <w:left w:val="nil"/>
              <w:bottom w:val="double" w:sz="6" w:space="0" w:color="auto"/>
              <w:right w:val="nil"/>
            </w:tcBorders>
            <w:shd w:val="clear" w:color="auto" w:fill="auto"/>
            <w:noWrap/>
            <w:vAlign w:val="bottom"/>
            <w:hideMark/>
          </w:tcPr>
          <w:p w14:paraId="5DD897E6" w14:textId="77777777" w:rsidR="00ED4A6C" w:rsidRPr="00290B01" w:rsidRDefault="00ED4A6C" w:rsidP="00B344C3">
            <w:pPr>
              <w:jc w:val="center"/>
              <w:rPr>
                <w:rFonts w:eastAsia="Times New Roman" w:cs="Times New Roman"/>
                <w:b/>
                <w:bCs/>
                <w:color w:val="000000"/>
                <w:sz w:val="18"/>
                <w:szCs w:val="18"/>
                <w:lang w:eastAsia="en-GB"/>
              </w:rPr>
            </w:pPr>
            <w:r w:rsidRPr="00290B01">
              <w:rPr>
                <w:rFonts w:eastAsia="Times New Roman" w:cs="Times New Roman"/>
                <w:b/>
                <w:bCs/>
                <w:color w:val="000000"/>
                <w:sz w:val="18"/>
                <w:szCs w:val="18"/>
                <w:lang w:eastAsia="en-GB"/>
              </w:rPr>
              <w:t> </w:t>
            </w:r>
          </w:p>
        </w:tc>
        <w:tc>
          <w:tcPr>
            <w:tcW w:w="1275" w:type="dxa"/>
            <w:tcBorders>
              <w:top w:val="single" w:sz="8" w:space="0" w:color="auto"/>
              <w:left w:val="nil"/>
              <w:bottom w:val="double" w:sz="6" w:space="0" w:color="auto"/>
              <w:right w:val="nil"/>
            </w:tcBorders>
            <w:shd w:val="clear" w:color="auto" w:fill="auto"/>
            <w:noWrap/>
            <w:vAlign w:val="bottom"/>
          </w:tcPr>
          <w:p w14:paraId="59483CBA" w14:textId="4BA76843" w:rsidR="00ED4A6C" w:rsidRPr="008F38F1" w:rsidRDefault="008F38F1" w:rsidP="00B344C3">
            <w:pPr>
              <w:jc w:val="right"/>
              <w:rPr>
                <w:rFonts w:eastAsia="Times New Roman" w:cs="Times New Roman"/>
                <w:b/>
                <w:bCs/>
                <w:color w:val="000000"/>
                <w:sz w:val="18"/>
                <w:szCs w:val="18"/>
                <w:lang w:val="en-US" w:eastAsia="en-GB"/>
              </w:rPr>
            </w:pPr>
            <w:r>
              <w:rPr>
                <w:rFonts w:eastAsia="Times New Roman" w:cs="Times New Roman"/>
                <w:b/>
                <w:bCs/>
                <w:color w:val="000000"/>
                <w:sz w:val="18"/>
                <w:szCs w:val="18"/>
                <w:lang w:val="en-US" w:eastAsia="en-GB"/>
              </w:rPr>
              <w:t>188,183</w:t>
            </w:r>
          </w:p>
        </w:tc>
        <w:tc>
          <w:tcPr>
            <w:tcW w:w="1560" w:type="dxa"/>
            <w:tcBorders>
              <w:top w:val="single" w:sz="8" w:space="0" w:color="auto"/>
              <w:left w:val="nil"/>
              <w:bottom w:val="double" w:sz="6" w:space="0" w:color="auto"/>
              <w:right w:val="nil"/>
            </w:tcBorders>
            <w:shd w:val="clear" w:color="auto" w:fill="auto"/>
            <w:noWrap/>
            <w:vAlign w:val="bottom"/>
          </w:tcPr>
          <w:p w14:paraId="434E942C" w14:textId="0B1F8942" w:rsidR="008F38F1" w:rsidRPr="00703807" w:rsidRDefault="008F38F1" w:rsidP="008F38F1">
            <w:pPr>
              <w:jc w:val="right"/>
              <w:rPr>
                <w:rFonts w:eastAsia="Times New Roman" w:cs="Times New Roman"/>
                <w:color w:val="000000"/>
                <w:sz w:val="18"/>
                <w:szCs w:val="18"/>
                <w:lang w:val="en-US" w:eastAsia="en-GB"/>
              </w:rPr>
            </w:pPr>
            <w:r>
              <w:rPr>
                <w:rFonts w:eastAsia="Times New Roman" w:cs="Times New Roman"/>
                <w:color w:val="000000"/>
                <w:sz w:val="18"/>
                <w:szCs w:val="18"/>
                <w:lang w:val="en-US" w:eastAsia="en-GB"/>
              </w:rPr>
              <w:t>195,792</w:t>
            </w:r>
          </w:p>
        </w:tc>
      </w:tr>
    </w:tbl>
    <w:p w14:paraId="150906C2" w14:textId="1FB76EFD" w:rsidR="00065112" w:rsidRDefault="00065112" w:rsidP="00065112">
      <w:pPr>
        <w:pStyle w:val="ListParagraph"/>
        <w:numPr>
          <w:ilvl w:val="0"/>
          <w:numId w:val="1"/>
        </w:numPr>
        <w:spacing w:before="240" w:after="120"/>
        <w:ind w:left="357" w:hanging="357"/>
        <w:contextualSpacing w:val="0"/>
        <w:outlineLvl w:val="0"/>
        <w:rPr>
          <w:b/>
          <w:bCs/>
          <w:sz w:val="18"/>
          <w:szCs w:val="18"/>
        </w:rPr>
      </w:pPr>
      <w:bookmarkStart w:id="63" w:name="_Toc57894907"/>
      <w:r w:rsidRPr="00065112">
        <w:rPr>
          <w:b/>
          <w:bCs/>
          <w:sz w:val="18"/>
          <w:szCs w:val="18"/>
        </w:rPr>
        <w:lastRenderedPageBreak/>
        <w:t>Share capital and revaluation reserve</w:t>
      </w:r>
      <w:bookmarkEnd w:id="63"/>
    </w:p>
    <w:p w14:paraId="29C40119" w14:textId="0652C580" w:rsidR="00065112" w:rsidRPr="00065112" w:rsidRDefault="00065112" w:rsidP="00065112">
      <w:pPr>
        <w:spacing w:before="120" w:after="120"/>
        <w:jc w:val="both"/>
        <w:rPr>
          <w:sz w:val="18"/>
          <w:szCs w:val="18"/>
        </w:rPr>
      </w:pPr>
      <w:r w:rsidRPr="00065112">
        <w:rPr>
          <w:sz w:val="18"/>
          <w:szCs w:val="18"/>
        </w:rPr>
        <w:t>The authorised, issued and fully paid share capital of the Company comprised of:</w:t>
      </w:r>
    </w:p>
    <w:tbl>
      <w:tblPr>
        <w:tblW w:w="5000" w:type="pct"/>
        <w:tblLook w:val="04A0" w:firstRow="1" w:lastRow="0" w:firstColumn="1" w:lastColumn="0" w:noHBand="0" w:noVBand="1"/>
      </w:tblPr>
      <w:tblGrid>
        <w:gridCol w:w="4564"/>
        <w:gridCol w:w="1287"/>
        <w:gridCol w:w="1394"/>
        <w:gridCol w:w="1520"/>
      </w:tblGrid>
      <w:tr w:rsidR="00065112" w:rsidRPr="00EC690A" w14:paraId="220A995B" w14:textId="77777777" w:rsidTr="00065112">
        <w:trPr>
          <w:trHeight w:val="300"/>
        </w:trPr>
        <w:tc>
          <w:tcPr>
            <w:tcW w:w="2604" w:type="pct"/>
            <w:tcBorders>
              <w:top w:val="nil"/>
              <w:left w:val="nil"/>
              <w:bottom w:val="single" w:sz="4" w:space="0" w:color="auto"/>
              <w:right w:val="nil"/>
            </w:tcBorders>
            <w:shd w:val="clear" w:color="auto" w:fill="auto"/>
            <w:noWrap/>
            <w:vAlign w:val="center"/>
            <w:hideMark/>
          </w:tcPr>
          <w:p w14:paraId="6E99B6DE" w14:textId="77777777" w:rsidR="00065112" w:rsidRPr="00EC690A" w:rsidRDefault="00065112" w:rsidP="00C4197C">
            <w:pPr>
              <w:jc w:val="right"/>
              <w:rPr>
                <w:b/>
                <w:bCs/>
                <w:color w:val="000000"/>
                <w:sz w:val="18"/>
                <w:szCs w:val="18"/>
                <w:lang w:eastAsia="en-GB"/>
              </w:rPr>
            </w:pPr>
            <w:r w:rsidRPr="00EC690A">
              <w:rPr>
                <w:b/>
                <w:bCs/>
                <w:color w:val="000000"/>
                <w:sz w:val="18"/>
                <w:szCs w:val="18"/>
                <w:lang w:eastAsia="en-GB"/>
              </w:rPr>
              <w:t> </w:t>
            </w:r>
          </w:p>
        </w:tc>
        <w:tc>
          <w:tcPr>
            <w:tcW w:w="734" w:type="pct"/>
            <w:tcBorders>
              <w:top w:val="nil"/>
              <w:left w:val="nil"/>
              <w:bottom w:val="single" w:sz="4" w:space="0" w:color="auto"/>
              <w:right w:val="nil"/>
            </w:tcBorders>
            <w:shd w:val="clear" w:color="auto" w:fill="auto"/>
            <w:noWrap/>
            <w:vAlign w:val="center"/>
            <w:hideMark/>
          </w:tcPr>
          <w:p w14:paraId="1A095EF5" w14:textId="77777777" w:rsidR="00065112" w:rsidRPr="00EC690A" w:rsidRDefault="00065112" w:rsidP="00C4197C">
            <w:pPr>
              <w:jc w:val="center"/>
              <w:rPr>
                <w:b/>
                <w:bCs/>
                <w:color w:val="000000"/>
                <w:sz w:val="18"/>
                <w:szCs w:val="18"/>
                <w:lang w:eastAsia="en-GB"/>
              </w:rPr>
            </w:pPr>
            <w:r w:rsidRPr="00EC690A">
              <w:rPr>
                <w:b/>
                <w:bCs/>
                <w:color w:val="000000"/>
                <w:sz w:val="18"/>
                <w:szCs w:val="18"/>
                <w:lang w:eastAsia="en-GB"/>
              </w:rPr>
              <w:t> </w:t>
            </w:r>
          </w:p>
        </w:tc>
        <w:tc>
          <w:tcPr>
            <w:tcW w:w="795" w:type="pct"/>
            <w:tcBorders>
              <w:top w:val="nil"/>
              <w:left w:val="nil"/>
              <w:bottom w:val="single" w:sz="4" w:space="0" w:color="auto"/>
              <w:right w:val="nil"/>
            </w:tcBorders>
            <w:shd w:val="clear" w:color="auto" w:fill="auto"/>
            <w:noWrap/>
            <w:vAlign w:val="center"/>
            <w:hideMark/>
          </w:tcPr>
          <w:p w14:paraId="748C9DAA" w14:textId="6F584896" w:rsidR="00065112" w:rsidRPr="00ED4A6C" w:rsidRDefault="00ED4A6C" w:rsidP="00C4197C">
            <w:pPr>
              <w:jc w:val="right"/>
              <w:rPr>
                <w:b/>
                <w:bCs/>
                <w:color w:val="000000"/>
                <w:sz w:val="18"/>
                <w:szCs w:val="18"/>
                <w:lang w:eastAsia="en-GB"/>
              </w:rPr>
            </w:pPr>
            <w:r w:rsidRPr="00ED4A6C">
              <w:rPr>
                <w:b/>
                <w:bCs/>
                <w:color w:val="000000"/>
                <w:sz w:val="18"/>
                <w:szCs w:val="18"/>
                <w:lang w:eastAsia="en-GB"/>
              </w:rPr>
              <w:t>31.12.</w:t>
            </w:r>
            <w:r w:rsidR="00065112" w:rsidRPr="00ED4A6C">
              <w:rPr>
                <w:b/>
                <w:bCs/>
                <w:color w:val="000000"/>
                <w:sz w:val="18"/>
                <w:szCs w:val="18"/>
                <w:lang w:eastAsia="en-GB"/>
              </w:rPr>
              <w:t>2019</w:t>
            </w:r>
          </w:p>
        </w:tc>
        <w:tc>
          <w:tcPr>
            <w:tcW w:w="867" w:type="pct"/>
            <w:tcBorders>
              <w:top w:val="nil"/>
              <w:left w:val="nil"/>
              <w:bottom w:val="single" w:sz="4" w:space="0" w:color="auto"/>
              <w:right w:val="nil"/>
            </w:tcBorders>
            <w:shd w:val="clear" w:color="auto" w:fill="auto"/>
            <w:noWrap/>
            <w:vAlign w:val="center"/>
            <w:hideMark/>
          </w:tcPr>
          <w:p w14:paraId="51897998" w14:textId="1CD16279" w:rsidR="00065112" w:rsidRPr="00ED4A6C" w:rsidRDefault="00ED4A6C" w:rsidP="00C4197C">
            <w:pPr>
              <w:jc w:val="right"/>
              <w:rPr>
                <w:color w:val="000000"/>
                <w:sz w:val="18"/>
                <w:szCs w:val="18"/>
                <w:lang w:eastAsia="en-GB"/>
              </w:rPr>
            </w:pPr>
            <w:r w:rsidRPr="00ED4A6C">
              <w:rPr>
                <w:color w:val="000000"/>
                <w:sz w:val="18"/>
                <w:szCs w:val="18"/>
                <w:lang w:eastAsia="en-GB"/>
              </w:rPr>
              <w:t>31.12.</w:t>
            </w:r>
            <w:r w:rsidR="00065112" w:rsidRPr="00ED4A6C">
              <w:rPr>
                <w:color w:val="000000"/>
                <w:sz w:val="18"/>
                <w:szCs w:val="18"/>
                <w:lang w:eastAsia="en-GB"/>
              </w:rPr>
              <w:t>2018</w:t>
            </w:r>
          </w:p>
        </w:tc>
      </w:tr>
      <w:tr w:rsidR="00065112" w:rsidRPr="00EC690A" w14:paraId="62AA8E95" w14:textId="77777777" w:rsidTr="00C4197C">
        <w:trPr>
          <w:trHeight w:val="300"/>
        </w:trPr>
        <w:tc>
          <w:tcPr>
            <w:tcW w:w="2604" w:type="pct"/>
            <w:tcBorders>
              <w:top w:val="nil"/>
              <w:left w:val="nil"/>
              <w:bottom w:val="nil"/>
              <w:right w:val="nil"/>
            </w:tcBorders>
            <w:shd w:val="clear" w:color="auto" w:fill="auto"/>
            <w:noWrap/>
            <w:vAlign w:val="bottom"/>
            <w:hideMark/>
          </w:tcPr>
          <w:p w14:paraId="2A23E683" w14:textId="482AA0B8" w:rsidR="00065112" w:rsidRPr="00EC690A" w:rsidRDefault="00065112" w:rsidP="00C4197C">
            <w:pPr>
              <w:rPr>
                <w:color w:val="000000"/>
                <w:sz w:val="18"/>
                <w:szCs w:val="18"/>
                <w:lang w:eastAsia="en-GB"/>
              </w:rPr>
            </w:pPr>
            <w:r>
              <w:rPr>
                <w:color w:val="000000"/>
                <w:sz w:val="18"/>
                <w:szCs w:val="18"/>
                <w:lang w:eastAsia="en-GB"/>
              </w:rPr>
              <w:t>Number of shares</w:t>
            </w:r>
          </w:p>
        </w:tc>
        <w:tc>
          <w:tcPr>
            <w:tcW w:w="734" w:type="pct"/>
            <w:tcBorders>
              <w:top w:val="nil"/>
              <w:left w:val="nil"/>
              <w:bottom w:val="nil"/>
              <w:right w:val="nil"/>
            </w:tcBorders>
            <w:shd w:val="clear" w:color="auto" w:fill="auto"/>
            <w:noWrap/>
            <w:vAlign w:val="bottom"/>
            <w:hideMark/>
          </w:tcPr>
          <w:p w14:paraId="3E4EED42" w14:textId="77777777" w:rsidR="00065112" w:rsidRPr="00EC690A" w:rsidRDefault="00065112" w:rsidP="00C4197C">
            <w:pPr>
              <w:rPr>
                <w:color w:val="000000"/>
                <w:sz w:val="18"/>
                <w:szCs w:val="18"/>
                <w:lang w:eastAsia="en-GB"/>
              </w:rPr>
            </w:pPr>
          </w:p>
        </w:tc>
        <w:tc>
          <w:tcPr>
            <w:tcW w:w="795" w:type="pct"/>
            <w:tcBorders>
              <w:top w:val="nil"/>
              <w:left w:val="nil"/>
              <w:bottom w:val="nil"/>
              <w:right w:val="nil"/>
            </w:tcBorders>
            <w:shd w:val="clear" w:color="auto" w:fill="auto"/>
            <w:noWrap/>
            <w:vAlign w:val="bottom"/>
            <w:hideMark/>
          </w:tcPr>
          <w:p w14:paraId="74F0C342" w14:textId="7264DB26" w:rsidR="00065112" w:rsidRPr="00ED4A6C" w:rsidRDefault="00065112" w:rsidP="00C4197C">
            <w:pPr>
              <w:jc w:val="right"/>
              <w:rPr>
                <w:b/>
                <w:bCs/>
                <w:color w:val="000000"/>
                <w:sz w:val="18"/>
                <w:szCs w:val="18"/>
                <w:lang w:eastAsia="en-GB"/>
              </w:rPr>
            </w:pPr>
            <w:r w:rsidRPr="00ED4A6C">
              <w:rPr>
                <w:b/>
                <w:bCs/>
                <w:color w:val="000000"/>
                <w:sz w:val="18"/>
                <w:szCs w:val="18"/>
              </w:rPr>
              <w:t>7,750</w:t>
            </w:r>
          </w:p>
        </w:tc>
        <w:tc>
          <w:tcPr>
            <w:tcW w:w="867" w:type="pct"/>
            <w:tcBorders>
              <w:top w:val="nil"/>
              <w:left w:val="nil"/>
              <w:bottom w:val="nil"/>
              <w:right w:val="nil"/>
            </w:tcBorders>
            <w:shd w:val="clear" w:color="auto" w:fill="auto"/>
            <w:noWrap/>
            <w:vAlign w:val="bottom"/>
            <w:hideMark/>
          </w:tcPr>
          <w:p w14:paraId="537FA35A" w14:textId="36302A91" w:rsidR="00065112" w:rsidRPr="00ED4A6C" w:rsidRDefault="00065112" w:rsidP="00C4197C">
            <w:pPr>
              <w:jc w:val="right"/>
              <w:rPr>
                <w:color w:val="000000"/>
                <w:sz w:val="18"/>
                <w:szCs w:val="18"/>
                <w:lang w:eastAsia="en-GB"/>
              </w:rPr>
            </w:pPr>
            <w:r w:rsidRPr="00ED4A6C">
              <w:rPr>
                <w:color w:val="000000"/>
                <w:sz w:val="18"/>
                <w:szCs w:val="18"/>
              </w:rPr>
              <w:t>7,750</w:t>
            </w:r>
          </w:p>
        </w:tc>
      </w:tr>
      <w:tr w:rsidR="00065112" w:rsidRPr="00EC690A" w14:paraId="094F3C24" w14:textId="77777777" w:rsidTr="00C4197C">
        <w:trPr>
          <w:trHeight w:val="300"/>
        </w:trPr>
        <w:tc>
          <w:tcPr>
            <w:tcW w:w="2604" w:type="pct"/>
            <w:tcBorders>
              <w:top w:val="nil"/>
              <w:left w:val="nil"/>
              <w:bottom w:val="nil"/>
              <w:right w:val="nil"/>
            </w:tcBorders>
            <w:shd w:val="clear" w:color="auto" w:fill="auto"/>
            <w:noWrap/>
            <w:vAlign w:val="bottom"/>
          </w:tcPr>
          <w:p w14:paraId="430181F3" w14:textId="12E02C85" w:rsidR="00065112" w:rsidRPr="00EC690A" w:rsidRDefault="00065112" w:rsidP="00C4197C">
            <w:pPr>
              <w:rPr>
                <w:color w:val="000000"/>
                <w:sz w:val="18"/>
                <w:szCs w:val="18"/>
                <w:lang w:eastAsia="en-GB"/>
              </w:rPr>
            </w:pPr>
            <w:r w:rsidRPr="00EC690A">
              <w:rPr>
                <w:color w:val="000000"/>
                <w:sz w:val="18"/>
                <w:szCs w:val="18"/>
                <w:lang w:eastAsia="en-GB"/>
              </w:rPr>
              <w:t>Par value</w:t>
            </w:r>
          </w:p>
        </w:tc>
        <w:tc>
          <w:tcPr>
            <w:tcW w:w="734" w:type="pct"/>
            <w:tcBorders>
              <w:top w:val="nil"/>
              <w:left w:val="nil"/>
              <w:bottom w:val="nil"/>
              <w:right w:val="nil"/>
            </w:tcBorders>
            <w:shd w:val="clear" w:color="auto" w:fill="auto"/>
            <w:noWrap/>
            <w:vAlign w:val="bottom"/>
          </w:tcPr>
          <w:p w14:paraId="2BE3252A" w14:textId="77777777" w:rsidR="00065112" w:rsidRPr="00EC690A" w:rsidRDefault="00065112" w:rsidP="00C4197C">
            <w:pPr>
              <w:rPr>
                <w:color w:val="000000"/>
                <w:sz w:val="18"/>
                <w:szCs w:val="18"/>
                <w:lang w:eastAsia="en-GB"/>
              </w:rPr>
            </w:pPr>
          </w:p>
        </w:tc>
        <w:tc>
          <w:tcPr>
            <w:tcW w:w="795" w:type="pct"/>
            <w:tcBorders>
              <w:top w:val="nil"/>
              <w:left w:val="nil"/>
              <w:bottom w:val="nil"/>
              <w:right w:val="nil"/>
            </w:tcBorders>
            <w:shd w:val="clear" w:color="auto" w:fill="auto"/>
            <w:noWrap/>
            <w:vAlign w:val="bottom"/>
          </w:tcPr>
          <w:p w14:paraId="44158696" w14:textId="37CDB091" w:rsidR="00065112" w:rsidRPr="00ED4A6C" w:rsidRDefault="00065112" w:rsidP="00C4197C">
            <w:pPr>
              <w:jc w:val="right"/>
              <w:rPr>
                <w:b/>
                <w:bCs/>
                <w:color w:val="000000"/>
                <w:sz w:val="18"/>
                <w:szCs w:val="18"/>
              </w:rPr>
            </w:pPr>
            <w:r w:rsidRPr="00ED4A6C">
              <w:rPr>
                <w:b/>
                <w:bCs/>
                <w:color w:val="000000"/>
                <w:sz w:val="18"/>
                <w:szCs w:val="18"/>
              </w:rPr>
              <w:t>1,291</w:t>
            </w:r>
          </w:p>
        </w:tc>
        <w:tc>
          <w:tcPr>
            <w:tcW w:w="867" w:type="pct"/>
            <w:tcBorders>
              <w:top w:val="nil"/>
              <w:left w:val="nil"/>
              <w:bottom w:val="nil"/>
              <w:right w:val="nil"/>
            </w:tcBorders>
            <w:shd w:val="clear" w:color="auto" w:fill="auto"/>
            <w:noWrap/>
            <w:vAlign w:val="bottom"/>
          </w:tcPr>
          <w:p w14:paraId="08D90987" w14:textId="240A6E8E" w:rsidR="00065112" w:rsidRPr="00ED4A6C" w:rsidRDefault="00065112" w:rsidP="00C4197C">
            <w:pPr>
              <w:jc w:val="right"/>
              <w:rPr>
                <w:color w:val="000000"/>
                <w:sz w:val="18"/>
                <w:szCs w:val="18"/>
              </w:rPr>
            </w:pPr>
            <w:r w:rsidRPr="00ED4A6C">
              <w:rPr>
                <w:color w:val="000000"/>
                <w:sz w:val="18"/>
                <w:szCs w:val="18"/>
              </w:rPr>
              <w:t>1,291</w:t>
            </w:r>
          </w:p>
        </w:tc>
      </w:tr>
      <w:tr w:rsidR="00065112" w:rsidRPr="00EC690A" w14:paraId="66E74186" w14:textId="77777777" w:rsidTr="00C4197C">
        <w:trPr>
          <w:trHeight w:val="315"/>
        </w:trPr>
        <w:tc>
          <w:tcPr>
            <w:tcW w:w="2604" w:type="pct"/>
            <w:tcBorders>
              <w:top w:val="single" w:sz="4" w:space="0" w:color="auto"/>
              <w:left w:val="nil"/>
              <w:bottom w:val="double" w:sz="6" w:space="0" w:color="auto"/>
              <w:right w:val="nil"/>
            </w:tcBorders>
            <w:shd w:val="clear" w:color="auto" w:fill="auto"/>
            <w:noWrap/>
            <w:vAlign w:val="bottom"/>
            <w:hideMark/>
          </w:tcPr>
          <w:p w14:paraId="442CD0A2" w14:textId="77777777" w:rsidR="00065112" w:rsidRPr="00EC690A" w:rsidRDefault="00065112" w:rsidP="00C4197C">
            <w:pPr>
              <w:rPr>
                <w:b/>
                <w:bCs/>
                <w:color w:val="000000"/>
                <w:sz w:val="18"/>
                <w:szCs w:val="18"/>
                <w:lang w:eastAsia="en-GB"/>
              </w:rPr>
            </w:pPr>
            <w:r w:rsidRPr="00EC690A">
              <w:rPr>
                <w:b/>
                <w:bCs/>
                <w:color w:val="000000"/>
                <w:sz w:val="18"/>
                <w:szCs w:val="18"/>
                <w:lang w:eastAsia="en-GB"/>
              </w:rPr>
              <w:t>Share capital</w:t>
            </w:r>
          </w:p>
        </w:tc>
        <w:tc>
          <w:tcPr>
            <w:tcW w:w="734" w:type="pct"/>
            <w:tcBorders>
              <w:top w:val="single" w:sz="4" w:space="0" w:color="auto"/>
              <w:left w:val="nil"/>
              <w:bottom w:val="double" w:sz="6" w:space="0" w:color="auto"/>
              <w:right w:val="nil"/>
            </w:tcBorders>
            <w:shd w:val="clear" w:color="auto" w:fill="auto"/>
            <w:noWrap/>
            <w:vAlign w:val="bottom"/>
            <w:hideMark/>
          </w:tcPr>
          <w:p w14:paraId="064C9CEA" w14:textId="77777777" w:rsidR="00065112" w:rsidRPr="00EC690A" w:rsidRDefault="00065112" w:rsidP="00C4197C">
            <w:pPr>
              <w:jc w:val="center"/>
              <w:rPr>
                <w:b/>
                <w:bCs/>
                <w:color w:val="000000"/>
                <w:sz w:val="18"/>
                <w:szCs w:val="18"/>
                <w:lang w:eastAsia="en-GB"/>
              </w:rPr>
            </w:pPr>
            <w:r w:rsidRPr="00EC690A">
              <w:rPr>
                <w:b/>
                <w:bCs/>
                <w:color w:val="000000"/>
                <w:sz w:val="18"/>
                <w:szCs w:val="18"/>
                <w:lang w:eastAsia="en-GB"/>
              </w:rPr>
              <w:t> </w:t>
            </w:r>
          </w:p>
        </w:tc>
        <w:tc>
          <w:tcPr>
            <w:tcW w:w="795" w:type="pct"/>
            <w:tcBorders>
              <w:top w:val="single" w:sz="4" w:space="0" w:color="auto"/>
              <w:left w:val="nil"/>
              <w:bottom w:val="double" w:sz="6" w:space="0" w:color="auto"/>
              <w:right w:val="nil"/>
            </w:tcBorders>
            <w:shd w:val="clear" w:color="auto" w:fill="auto"/>
            <w:noWrap/>
            <w:vAlign w:val="bottom"/>
            <w:hideMark/>
          </w:tcPr>
          <w:p w14:paraId="442C6A1D" w14:textId="33D63E13" w:rsidR="00065112" w:rsidRPr="00ED4A6C" w:rsidRDefault="00065112" w:rsidP="00C4197C">
            <w:pPr>
              <w:jc w:val="right"/>
              <w:rPr>
                <w:b/>
                <w:bCs/>
                <w:color w:val="000000"/>
                <w:sz w:val="18"/>
                <w:szCs w:val="18"/>
                <w:lang w:eastAsia="en-GB"/>
              </w:rPr>
            </w:pPr>
            <w:r w:rsidRPr="00ED4A6C">
              <w:rPr>
                <w:b/>
                <w:bCs/>
                <w:color w:val="000000"/>
                <w:sz w:val="18"/>
                <w:szCs w:val="18"/>
              </w:rPr>
              <w:t>10,005,250</w:t>
            </w:r>
          </w:p>
        </w:tc>
        <w:tc>
          <w:tcPr>
            <w:tcW w:w="867" w:type="pct"/>
            <w:tcBorders>
              <w:top w:val="single" w:sz="4" w:space="0" w:color="auto"/>
              <w:left w:val="nil"/>
              <w:bottom w:val="double" w:sz="6" w:space="0" w:color="auto"/>
              <w:right w:val="nil"/>
            </w:tcBorders>
            <w:shd w:val="clear" w:color="auto" w:fill="auto"/>
            <w:noWrap/>
            <w:vAlign w:val="bottom"/>
            <w:hideMark/>
          </w:tcPr>
          <w:p w14:paraId="76EFC1B5" w14:textId="5823B99B" w:rsidR="00065112" w:rsidRPr="00ED4A6C" w:rsidRDefault="00065112" w:rsidP="00C4197C">
            <w:pPr>
              <w:jc w:val="right"/>
              <w:rPr>
                <w:color w:val="000000"/>
                <w:sz w:val="18"/>
                <w:szCs w:val="18"/>
                <w:lang w:eastAsia="en-GB"/>
              </w:rPr>
            </w:pPr>
            <w:r w:rsidRPr="00ED4A6C">
              <w:rPr>
                <w:color w:val="000000"/>
                <w:sz w:val="18"/>
                <w:szCs w:val="18"/>
              </w:rPr>
              <w:t>10,005,250</w:t>
            </w:r>
          </w:p>
        </w:tc>
      </w:tr>
    </w:tbl>
    <w:p w14:paraId="37ED464F" w14:textId="75E409F1" w:rsidR="00065112" w:rsidRPr="00EC690A" w:rsidRDefault="00065112" w:rsidP="00065112">
      <w:pPr>
        <w:spacing w:before="120" w:after="120"/>
        <w:rPr>
          <w:sz w:val="18"/>
          <w:szCs w:val="18"/>
        </w:rPr>
      </w:pPr>
      <w:r w:rsidRPr="00EC690A">
        <w:rPr>
          <w:sz w:val="18"/>
          <w:szCs w:val="18"/>
        </w:rPr>
        <w:t>Earnings per share (basic and diluted) for 201</w:t>
      </w:r>
      <w:r>
        <w:rPr>
          <w:sz w:val="18"/>
          <w:szCs w:val="18"/>
        </w:rPr>
        <w:t>9</w:t>
      </w:r>
      <w:r w:rsidRPr="00EC690A">
        <w:rPr>
          <w:sz w:val="18"/>
          <w:szCs w:val="18"/>
        </w:rPr>
        <w:t xml:space="preserve"> and 20</w:t>
      </w:r>
      <w:r>
        <w:rPr>
          <w:sz w:val="18"/>
          <w:szCs w:val="18"/>
        </w:rPr>
        <w:t>18</w:t>
      </w:r>
      <w:r w:rsidRPr="00EC690A">
        <w:rPr>
          <w:sz w:val="18"/>
          <w:szCs w:val="18"/>
        </w:rPr>
        <w:t xml:space="preserve"> were calculated as follows:</w:t>
      </w:r>
    </w:p>
    <w:p w14:paraId="49F53988" w14:textId="77777777" w:rsidR="00065112" w:rsidRDefault="00065112" w:rsidP="00065112">
      <w:pPr>
        <w:rPr>
          <w:b/>
          <w:bCs/>
          <w:sz w:val="18"/>
          <w:szCs w:val="18"/>
        </w:rPr>
      </w:pPr>
    </w:p>
    <w:tbl>
      <w:tblPr>
        <w:tblW w:w="5000" w:type="pct"/>
        <w:tblLayout w:type="fixed"/>
        <w:tblLook w:val="04A0" w:firstRow="1" w:lastRow="0" w:firstColumn="1" w:lastColumn="0" w:noHBand="0" w:noVBand="1"/>
      </w:tblPr>
      <w:tblGrid>
        <w:gridCol w:w="5501"/>
        <w:gridCol w:w="1713"/>
        <w:gridCol w:w="1551"/>
      </w:tblGrid>
      <w:tr w:rsidR="00064F7E" w:rsidRPr="00EC690A" w14:paraId="643D07B5" w14:textId="77777777" w:rsidTr="00064F7E">
        <w:trPr>
          <w:trHeight w:val="300"/>
        </w:trPr>
        <w:tc>
          <w:tcPr>
            <w:tcW w:w="3138" w:type="pct"/>
            <w:tcBorders>
              <w:top w:val="nil"/>
              <w:left w:val="nil"/>
              <w:bottom w:val="single" w:sz="4" w:space="0" w:color="auto"/>
              <w:right w:val="nil"/>
            </w:tcBorders>
            <w:shd w:val="clear" w:color="auto" w:fill="auto"/>
            <w:noWrap/>
            <w:vAlign w:val="center"/>
            <w:hideMark/>
          </w:tcPr>
          <w:p w14:paraId="5FACE90D" w14:textId="77777777" w:rsidR="00064F7E" w:rsidRPr="00EC690A" w:rsidRDefault="00064F7E" w:rsidP="00C4197C">
            <w:pPr>
              <w:jc w:val="right"/>
              <w:rPr>
                <w:b/>
                <w:bCs/>
                <w:color w:val="000000"/>
                <w:sz w:val="18"/>
                <w:szCs w:val="18"/>
                <w:lang w:eastAsia="en-GB"/>
              </w:rPr>
            </w:pPr>
            <w:r w:rsidRPr="00EC690A">
              <w:rPr>
                <w:b/>
                <w:bCs/>
                <w:color w:val="000000"/>
                <w:sz w:val="18"/>
                <w:szCs w:val="18"/>
                <w:lang w:eastAsia="en-GB"/>
              </w:rPr>
              <w:t> </w:t>
            </w:r>
          </w:p>
        </w:tc>
        <w:tc>
          <w:tcPr>
            <w:tcW w:w="977" w:type="pct"/>
            <w:tcBorders>
              <w:top w:val="nil"/>
              <w:left w:val="nil"/>
              <w:bottom w:val="single" w:sz="4" w:space="0" w:color="auto"/>
              <w:right w:val="nil"/>
            </w:tcBorders>
            <w:shd w:val="clear" w:color="auto" w:fill="auto"/>
            <w:noWrap/>
            <w:vAlign w:val="center"/>
            <w:hideMark/>
          </w:tcPr>
          <w:p w14:paraId="4194FBD6" w14:textId="77777777" w:rsidR="00064F7E" w:rsidRPr="00ED4A6C" w:rsidRDefault="00064F7E" w:rsidP="00C4197C">
            <w:pPr>
              <w:jc w:val="right"/>
              <w:rPr>
                <w:b/>
                <w:bCs/>
                <w:color w:val="000000"/>
                <w:sz w:val="18"/>
                <w:szCs w:val="18"/>
                <w:lang w:eastAsia="en-GB"/>
              </w:rPr>
            </w:pPr>
            <w:r w:rsidRPr="00ED4A6C">
              <w:rPr>
                <w:b/>
                <w:bCs/>
                <w:color w:val="000000"/>
                <w:sz w:val="18"/>
                <w:szCs w:val="18"/>
                <w:lang w:eastAsia="en-GB"/>
              </w:rPr>
              <w:t>2019</w:t>
            </w:r>
          </w:p>
        </w:tc>
        <w:tc>
          <w:tcPr>
            <w:tcW w:w="885" w:type="pct"/>
            <w:tcBorders>
              <w:top w:val="nil"/>
              <w:left w:val="nil"/>
              <w:bottom w:val="single" w:sz="4" w:space="0" w:color="auto"/>
              <w:right w:val="nil"/>
            </w:tcBorders>
            <w:shd w:val="clear" w:color="auto" w:fill="auto"/>
            <w:noWrap/>
            <w:vAlign w:val="center"/>
            <w:hideMark/>
          </w:tcPr>
          <w:p w14:paraId="0B8E115E" w14:textId="77777777" w:rsidR="00064F7E" w:rsidRPr="00ED4A6C" w:rsidRDefault="00064F7E" w:rsidP="00C4197C">
            <w:pPr>
              <w:jc w:val="right"/>
              <w:rPr>
                <w:color w:val="000000"/>
                <w:sz w:val="18"/>
                <w:szCs w:val="18"/>
                <w:lang w:eastAsia="en-GB"/>
              </w:rPr>
            </w:pPr>
            <w:r w:rsidRPr="00ED4A6C">
              <w:rPr>
                <w:color w:val="000000"/>
                <w:sz w:val="18"/>
                <w:szCs w:val="18"/>
                <w:lang w:eastAsia="en-GB"/>
              </w:rPr>
              <w:t>2018</w:t>
            </w:r>
          </w:p>
        </w:tc>
      </w:tr>
      <w:tr w:rsidR="00064F7E" w:rsidRPr="00EC690A" w14:paraId="2ABD5DCD" w14:textId="77777777" w:rsidTr="00064F7E">
        <w:trPr>
          <w:trHeight w:val="300"/>
        </w:trPr>
        <w:tc>
          <w:tcPr>
            <w:tcW w:w="3138" w:type="pct"/>
            <w:tcBorders>
              <w:top w:val="nil"/>
              <w:left w:val="nil"/>
              <w:bottom w:val="nil"/>
              <w:right w:val="nil"/>
            </w:tcBorders>
            <w:shd w:val="clear" w:color="auto" w:fill="auto"/>
            <w:noWrap/>
            <w:vAlign w:val="bottom"/>
            <w:hideMark/>
          </w:tcPr>
          <w:p w14:paraId="145D8C50" w14:textId="49E82C3C" w:rsidR="00064F7E" w:rsidRPr="00EC690A" w:rsidRDefault="00064F7E" w:rsidP="00C4197C">
            <w:pPr>
              <w:rPr>
                <w:color w:val="000000"/>
                <w:sz w:val="18"/>
                <w:szCs w:val="18"/>
                <w:lang w:eastAsia="en-GB"/>
              </w:rPr>
            </w:pPr>
            <w:r>
              <w:rPr>
                <w:color w:val="000000"/>
                <w:sz w:val="18"/>
                <w:szCs w:val="18"/>
                <w:lang w:eastAsia="en-GB"/>
              </w:rPr>
              <w:t>Net profit for the year</w:t>
            </w:r>
          </w:p>
        </w:tc>
        <w:tc>
          <w:tcPr>
            <w:tcW w:w="977" w:type="pct"/>
            <w:tcBorders>
              <w:top w:val="nil"/>
              <w:left w:val="nil"/>
              <w:bottom w:val="nil"/>
              <w:right w:val="nil"/>
            </w:tcBorders>
            <w:shd w:val="clear" w:color="auto" w:fill="auto"/>
            <w:noWrap/>
            <w:vAlign w:val="bottom"/>
          </w:tcPr>
          <w:p w14:paraId="21E27AF5" w14:textId="2996EEFD" w:rsidR="00064F7E" w:rsidRPr="00ED4A6C" w:rsidRDefault="00D64947" w:rsidP="00C4197C">
            <w:pPr>
              <w:jc w:val="right"/>
              <w:rPr>
                <w:b/>
                <w:bCs/>
                <w:color w:val="000000"/>
                <w:sz w:val="18"/>
                <w:szCs w:val="18"/>
                <w:lang w:eastAsia="en-GB"/>
              </w:rPr>
            </w:pPr>
            <w:r w:rsidRPr="00ED4A6C">
              <w:rPr>
                <w:b/>
                <w:bCs/>
                <w:color w:val="000000"/>
                <w:sz w:val="18"/>
                <w:szCs w:val="18"/>
                <w:lang w:eastAsia="en-GB"/>
              </w:rPr>
              <w:t>1,454,950</w:t>
            </w:r>
          </w:p>
        </w:tc>
        <w:tc>
          <w:tcPr>
            <w:tcW w:w="885" w:type="pct"/>
            <w:tcBorders>
              <w:top w:val="nil"/>
              <w:left w:val="nil"/>
              <w:bottom w:val="nil"/>
              <w:right w:val="nil"/>
            </w:tcBorders>
            <w:shd w:val="clear" w:color="auto" w:fill="auto"/>
            <w:noWrap/>
            <w:vAlign w:val="bottom"/>
            <w:hideMark/>
          </w:tcPr>
          <w:p w14:paraId="0893D775" w14:textId="34A5A80A" w:rsidR="00064F7E" w:rsidRPr="00ED4A6C" w:rsidRDefault="00D64947" w:rsidP="00C4197C">
            <w:pPr>
              <w:jc w:val="right"/>
              <w:rPr>
                <w:color w:val="000000"/>
                <w:sz w:val="18"/>
                <w:szCs w:val="18"/>
                <w:lang w:eastAsia="en-GB"/>
              </w:rPr>
            </w:pPr>
            <w:r w:rsidRPr="00ED4A6C">
              <w:rPr>
                <w:color w:val="000000"/>
                <w:sz w:val="18"/>
                <w:szCs w:val="18"/>
              </w:rPr>
              <w:t>2,240,720</w:t>
            </w:r>
          </w:p>
        </w:tc>
      </w:tr>
      <w:tr w:rsidR="00064F7E" w:rsidRPr="00EC690A" w14:paraId="107997DD" w14:textId="77777777" w:rsidTr="00064F7E">
        <w:trPr>
          <w:trHeight w:val="300"/>
        </w:trPr>
        <w:tc>
          <w:tcPr>
            <w:tcW w:w="3138" w:type="pct"/>
            <w:tcBorders>
              <w:top w:val="nil"/>
              <w:left w:val="nil"/>
              <w:bottom w:val="nil"/>
              <w:right w:val="nil"/>
            </w:tcBorders>
            <w:shd w:val="clear" w:color="auto" w:fill="auto"/>
            <w:noWrap/>
            <w:vAlign w:val="bottom"/>
          </w:tcPr>
          <w:p w14:paraId="3DC44116" w14:textId="51DA167D" w:rsidR="00064F7E" w:rsidRPr="00EC690A" w:rsidRDefault="00064F7E" w:rsidP="00C4197C">
            <w:pPr>
              <w:rPr>
                <w:color w:val="000000"/>
                <w:sz w:val="18"/>
                <w:szCs w:val="18"/>
                <w:lang w:eastAsia="en-GB"/>
              </w:rPr>
            </w:pPr>
            <w:r w:rsidRPr="00064F7E">
              <w:rPr>
                <w:color w:val="000000"/>
                <w:sz w:val="18"/>
                <w:szCs w:val="18"/>
                <w:lang w:eastAsia="en-GB"/>
              </w:rPr>
              <w:t>Weighted average number of ordinary shares for basic earnings per share</w:t>
            </w:r>
          </w:p>
        </w:tc>
        <w:tc>
          <w:tcPr>
            <w:tcW w:w="977" w:type="pct"/>
            <w:tcBorders>
              <w:top w:val="nil"/>
              <w:left w:val="nil"/>
              <w:bottom w:val="nil"/>
              <w:right w:val="nil"/>
            </w:tcBorders>
            <w:shd w:val="clear" w:color="auto" w:fill="auto"/>
            <w:noWrap/>
            <w:vAlign w:val="bottom"/>
          </w:tcPr>
          <w:p w14:paraId="38D588F4" w14:textId="23DCC1A2" w:rsidR="00064F7E" w:rsidRPr="00ED4A6C" w:rsidRDefault="007B48D5" w:rsidP="00C4197C">
            <w:pPr>
              <w:jc w:val="right"/>
              <w:rPr>
                <w:b/>
                <w:bCs/>
                <w:color w:val="000000"/>
                <w:sz w:val="18"/>
                <w:szCs w:val="18"/>
              </w:rPr>
            </w:pPr>
            <w:r w:rsidRPr="00ED4A6C">
              <w:rPr>
                <w:b/>
                <w:bCs/>
                <w:color w:val="000000"/>
                <w:sz w:val="18"/>
                <w:szCs w:val="18"/>
              </w:rPr>
              <w:t>7,750</w:t>
            </w:r>
          </w:p>
        </w:tc>
        <w:tc>
          <w:tcPr>
            <w:tcW w:w="885" w:type="pct"/>
            <w:tcBorders>
              <w:top w:val="nil"/>
              <w:left w:val="nil"/>
              <w:bottom w:val="nil"/>
              <w:right w:val="nil"/>
            </w:tcBorders>
            <w:shd w:val="clear" w:color="auto" w:fill="auto"/>
            <w:noWrap/>
            <w:vAlign w:val="bottom"/>
          </w:tcPr>
          <w:p w14:paraId="72F3DD31" w14:textId="1913F6AB" w:rsidR="00064F7E" w:rsidRPr="00ED4A6C" w:rsidRDefault="00064F7E" w:rsidP="00C4197C">
            <w:pPr>
              <w:jc w:val="right"/>
              <w:rPr>
                <w:color w:val="000000"/>
                <w:sz w:val="18"/>
                <w:szCs w:val="18"/>
              </w:rPr>
            </w:pPr>
            <w:r w:rsidRPr="00ED4A6C">
              <w:rPr>
                <w:color w:val="000000"/>
                <w:sz w:val="18"/>
                <w:szCs w:val="18"/>
              </w:rPr>
              <w:t>7,750</w:t>
            </w:r>
          </w:p>
        </w:tc>
      </w:tr>
      <w:tr w:rsidR="00064F7E" w:rsidRPr="00EC690A" w14:paraId="25C5B3B7" w14:textId="77777777" w:rsidTr="00064F7E">
        <w:trPr>
          <w:trHeight w:val="315"/>
        </w:trPr>
        <w:tc>
          <w:tcPr>
            <w:tcW w:w="3138" w:type="pct"/>
            <w:tcBorders>
              <w:top w:val="single" w:sz="4" w:space="0" w:color="auto"/>
              <w:left w:val="nil"/>
              <w:bottom w:val="double" w:sz="6" w:space="0" w:color="auto"/>
              <w:right w:val="nil"/>
            </w:tcBorders>
            <w:shd w:val="clear" w:color="auto" w:fill="auto"/>
            <w:noWrap/>
            <w:vAlign w:val="bottom"/>
            <w:hideMark/>
          </w:tcPr>
          <w:p w14:paraId="23C3C4E4" w14:textId="5D63D7B0" w:rsidR="00064F7E" w:rsidRPr="00EC690A" w:rsidRDefault="00064F7E" w:rsidP="00C4197C">
            <w:pPr>
              <w:rPr>
                <w:b/>
                <w:bCs/>
                <w:color w:val="000000"/>
                <w:sz w:val="18"/>
                <w:szCs w:val="18"/>
                <w:lang w:eastAsia="en-GB"/>
              </w:rPr>
            </w:pPr>
            <w:r>
              <w:rPr>
                <w:b/>
                <w:bCs/>
                <w:color w:val="000000"/>
                <w:sz w:val="18"/>
                <w:szCs w:val="18"/>
                <w:lang w:eastAsia="en-GB"/>
              </w:rPr>
              <w:t>Earnings per share</w:t>
            </w:r>
          </w:p>
        </w:tc>
        <w:tc>
          <w:tcPr>
            <w:tcW w:w="977" w:type="pct"/>
            <w:tcBorders>
              <w:top w:val="single" w:sz="4" w:space="0" w:color="auto"/>
              <w:left w:val="nil"/>
              <w:bottom w:val="double" w:sz="6" w:space="0" w:color="auto"/>
              <w:right w:val="nil"/>
            </w:tcBorders>
            <w:shd w:val="clear" w:color="auto" w:fill="auto"/>
            <w:noWrap/>
            <w:vAlign w:val="bottom"/>
          </w:tcPr>
          <w:p w14:paraId="4A1159C6" w14:textId="00AC4467" w:rsidR="00064F7E" w:rsidRPr="00ED4A6C" w:rsidRDefault="00D64947" w:rsidP="00C4197C">
            <w:pPr>
              <w:jc w:val="right"/>
              <w:rPr>
                <w:b/>
                <w:bCs/>
                <w:color w:val="000000"/>
                <w:sz w:val="18"/>
                <w:szCs w:val="18"/>
                <w:lang w:eastAsia="en-GB"/>
              </w:rPr>
            </w:pPr>
            <w:r w:rsidRPr="00ED4A6C">
              <w:rPr>
                <w:b/>
                <w:bCs/>
                <w:color w:val="000000"/>
                <w:sz w:val="18"/>
                <w:szCs w:val="18"/>
                <w:lang w:eastAsia="en-GB"/>
              </w:rPr>
              <w:t>187.74</w:t>
            </w:r>
          </w:p>
        </w:tc>
        <w:tc>
          <w:tcPr>
            <w:tcW w:w="885" w:type="pct"/>
            <w:tcBorders>
              <w:top w:val="single" w:sz="4" w:space="0" w:color="auto"/>
              <w:left w:val="nil"/>
              <w:bottom w:val="double" w:sz="6" w:space="0" w:color="auto"/>
              <w:right w:val="nil"/>
            </w:tcBorders>
            <w:shd w:val="clear" w:color="auto" w:fill="auto"/>
            <w:noWrap/>
            <w:vAlign w:val="bottom"/>
            <w:hideMark/>
          </w:tcPr>
          <w:p w14:paraId="16ADD4B4" w14:textId="326A2DCD" w:rsidR="00064F7E" w:rsidRPr="00ED4A6C" w:rsidRDefault="00D64947" w:rsidP="00C4197C">
            <w:pPr>
              <w:jc w:val="right"/>
              <w:rPr>
                <w:color w:val="000000"/>
                <w:sz w:val="18"/>
                <w:szCs w:val="18"/>
                <w:lang w:eastAsia="en-GB"/>
              </w:rPr>
            </w:pPr>
            <w:r w:rsidRPr="00ED4A6C">
              <w:rPr>
                <w:color w:val="000000"/>
                <w:sz w:val="18"/>
                <w:szCs w:val="18"/>
              </w:rPr>
              <w:t>213,50</w:t>
            </w:r>
          </w:p>
        </w:tc>
      </w:tr>
    </w:tbl>
    <w:p w14:paraId="3F84F911" w14:textId="77777777" w:rsidR="00064F7E" w:rsidRDefault="00064F7E" w:rsidP="00065112">
      <w:pPr>
        <w:rPr>
          <w:b/>
          <w:bCs/>
          <w:sz w:val="18"/>
          <w:szCs w:val="18"/>
        </w:rPr>
      </w:pPr>
    </w:p>
    <w:p w14:paraId="0BF48F65" w14:textId="5A03DD41" w:rsidR="00064F7E" w:rsidRDefault="00064F7E" w:rsidP="00064F7E">
      <w:pPr>
        <w:spacing w:before="120" w:after="120"/>
        <w:jc w:val="both"/>
        <w:rPr>
          <w:sz w:val="18"/>
          <w:szCs w:val="18"/>
        </w:rPr>
      </w:pPr>
      <w:r w:rsidRPr="00064F7E">
        <w:rPr>
          <w:sz w:val="18"/>
          <w:szCs w:val="18"/>
        </w:rPr>
        <w:t>During 20</w:t>
      </w:r>
      <w:r w:rsidR="00D64947">
        <w:rPr>
          <w:sz w:val="18"/>
          <w:szCs w:val="18"/>
        </w:rPr>
        <w:t>19</w:t>
      </w:r>
      <w:r w:rsidRPr="00064F7E">
        <w:rPr>
          <w:sz w:val="18"/>
          <w:szCs w:val="18"/>
        </w:rPr>
        <w:t xml:space="preserve"> the Company </w:t>
      </w:r>
      <w:r w:rsidR="00D64947">
        <w:rPr>
          <w:sz w:val="18"/>
          <w:szCs w:val="18"/>
        </w:rPr>
        <w:t>paid</w:t>
      </w:r>
      <w:r w:rsidRPr="00064F7E">
        <w:rPr>
          <w:sz w:val="18"/>
          <w:szCs w:val="18"/>
        </w:rPr>
        <w:t xml:space="preserve"> dividends to shareholders for the results of 201</w:t>
      </w:r>
      <w:r w:rsidR="00D64947">
        <w:rPr>
          <w:sz w:val="18"/>
          <w:szCs w:val="18"/>
        </w:rPr>
        <w:t>8</w:t>
      </w:r>
      <w:r w:rsidRPr="00064F7E">
        <w:rPr>
          <w:sz w:val="18"/>
          <w:szCs w:val="18"/>
        </w:rPr>
        <w:t xml:space="preserve"> in total amount of AZN </w:t>
      </w:r>
      <w:r w:rsidR="00D64947">
        <w:rPr>
          <w:sz w:val="18"/>
          <w:szCs w:val="18"/>
        </w:rPr>
        <w:t>2,107,598</w:t>
      </w:r>
      <w:r w:rsidRPr="00064F7E">
        <w:rPr>
          <w:sz w:val="18"/>
          <w:szCs w:val="18"/>
        </w:rPr>
        <w:t xml:space="preserve"> (Note 32). </w:t>
      </w:r>
    </w:p>
    <w:p w14:paraId="2E171657" w14:textId="1D9C3206" w:rsidR="00064F7E" w:rsidRDefault="00064F7E" w:rsidP="00064F7E">
      <w:pPr>
        <w:spacing w:before="120" w:after="120"/>
        <w:jc w:val="both"/>
        <w:rPr>
          <w:sz w:val="18"/>
          <w:szCs w:val="18"/>
        </w:rPr>
      </w:pPr>
      <w:r>
        <w:rPr>
          <w:sz w:val="18"/>
          <w:szCs w:val="18"/>
        </w:rPr>
        <w:t xml:space="preserve">The properties revaluation reserve </w:t>
      </w:r>
      <w:r w:rsidR="00FA6DF7">
        <w:rPr>
          <w:sz w:val="18"/>
          <w:szCs w:val="18"/>
        </w:rPr>
        <w:t>arises</w:t>
      </w:r>
      <w:r>
        <w:rPr>
          <w:sz w:val="18"/>
          <w:szCs w:val="18"/>
        </w:rPr>
        <w:t xml:space="preserve"> on the revaluation of buildings and investment properties (Note 11,13).</w:t>
      </w:r>
    </w:p>
    <w:tbl>
      <w:tblPr>
        <w:tblW w:w="5000" w:type="pct"/>
        <w:tblLayout w:type="fixed"/>
        <w:tblLook w:val="04A0" w:firstRow="1" w:lastRow="0" w:firstColumn="1" w:lastColumn="0" w:noHBand="0" w:noVBand="1"/>
      </w:tblPr>
      <w:tblGrid>
        <w:gridCol w:w="5795"/>
        <w:gridCol w:w="1415"/>
        <w:gridCol w:w="1555"/>
      </w:tblGrid>
      <w:tr w:rsidR="00064F7E" w:rsidRPr="00EC690A" w14:paraId="460424CC" w14:textId="77777777" w:rsidTr="00064F7E">
        <w:trPr>
          <w:trHeight w:val="300"/>
        </w:trPr>
        <w:tc>
          <w:tcPr>
            <w:tcW w:w="3306" w:type="pct"/>
            <w:tcBorders>
              <w:top w:val="nil"/>
              <w:left w:val="nil"/>
              <w:bottom w:val="single" w:sz="4" w:space="0" w:color="auto"/>
              <w:right w:val="nil"/>
            </w:tcBorders>
            <w:shd w:val="clear" w:color="auto" w:fill="auto"/>
            <w:noWrap/>
            <w:vAlign w:val="center"/>
            <w:hideMark/>
          </w:tcPr>
          <w:p w14:paraId="3B1B1C77" w14:textId="77777777" w:rsidR="00064F7E" w:rsidRPr="00EC690A" w:rsidRDefault="00064F7E" w:rsidP="00C4197C">
            <w:pPr>
              <w:jc w:val="right"/>
              <w:rPr>
                <w:b/>
                <w:bCs/>
                <w:color w:val="000000"/>
                <w:sz w:val="18"/>
                <w:szCs w:val="18"/>
                <w:lang w:eastAsia="en-GB"/>
              </w:rPr>
            </w:pPr>
            <w:r w:rsidRPr="00EC690A">
              <w:rPr>
                <w:b/>
                <w:bCs/>
                <w:color w:val="000000"/>
                <w:sz w:val="18"/>
                <w:szCs w:val="18"/>
                <w:lang w:eastAsia="en-GB"/>
              </w:rPr>
              <w:t> </w:t>
            </w:r>
          </w:p>
        </w:tc>
        <w:tc>
          <w:tcPr>
            <w:tcW w:w="807" w:type="pct"/>
            <w:tcBorders>
              <w:top w:val="nil"/>
              <w:left w:val="nil"/>
              <w:bottom w:val="single" w:sz="4" w:space="0" w:color="auto"/>
              <w:right w:val="nil"/>
            </w:tcBorders>
            <w:shd w:val="clear" w:color="auto" w:fill="auto"/>
            <w:noWrap/>
            <w:vAlign w:val="center"/>
            <w:hideMark/>
          </w:tcPr>
          <w:p w14:paraId="542107D4" w14:textId="77777777" w:rsidR="00064F7E" w:rsidRPr="00ED4A6C" w:rsidRDefault="00064F7E" w:rsidP="00C4197C">
            <w:pPr>
              <w:jc w:val="right"/>
              <w:rPr>
                <w:b/>
                <w:bCs/>
                <w:color w:val="000000"/>
                <w:sz w:val="18"/>
                <w:szCs w:val="18"/>
                <w:lang w:eastAsia="en-GB"/>
              </w:rPr>
            </w:pPr>
            <w:r w:rsidRPr="00ED4A6C">
              <w:rPr>
                <w:b/>
                <w:bCs/>
                <w:color w:val="000000"/>
                <w:sz w:val="18"/>
                <w:szCs w:val="18"/>
                <w:lang w:eastAsia="en-GB"/>
              </w:rPr>
              <w:t>2019</w:t>
            </w:r>
          </w:p>
        </w:tc>
        <w:tc>
          <w:tcPr>
            <w:tcW w:w="887" w:type="pct"/>
            <w:tcBorders>
              <w:top w:val="nil"/>
              <w:left w:val="nil"/>
              <w:bottom w:val="single" w:sz="4" w:space="0" w:color="auto"/>
              <w:right w:val="nil"/>
            </w:tcBorders>
            <w:shd w:val="clear" w:color="auto" w:fill="auto"/>
            <w:noWrap/>
            <w:vAlign w:val="center"/>
            <w:hideMark/>
          </w:tcPr>
          <w:p w14:paraId="12363E63" w14:textId="77777777" w:rsidR="00064F7E" w:rsidRPr="00ED4A6C" w:rsidRDefault="00064F7E" w:rsidP="00C4197C">
            <w:pPr>
              <w:jc w:val="right"/>
              <w:rPr>
                <w:color w:val="000000"/>
                <w:sz w:val="18"/>
                <w:szCs w:val="18"/>
                <w:lang w:eastAsia="en-GB"/>
              </w:rPr>
            </w:pPr>
            <w:r w:rsidRPr="00ED4A6C">
              <w:rPr>
                <w:color w:val="000000"/>
                <w:sz w:val="18"/>
                <w:szCs w:val="18"/>
                <w:lang w:eastAsia="en-GB"/>
              </w:rPr>
              <w:t>2018</w:t>
            </w:r>
          </w:p>
        </w:tc>
      </w:tr>
      <w:tr w:rsidR="00064F7E" w:rsidRPr="00EC690A" w14:paraId="741BB8F3" w14:textId="77777777" w:rsidTr="00064F7E">
        <w:trPr>
          <w:trHeight w:val="300"/>
        </w:trPr>
        <w:tc>
          <w:tcPr>
            <w:tcW w:w="3306" w:type="pct"/>
            <w:tcBorders>
              <w:top w:val="nil"/>
              <w:left w:val="nil"/>
              <w:bottom w:val="nil"/>
              <w:right w:val="nil"/>
            </w:tcBorders>
            <w:shd w:val="clear" w:color="auto" w:fill="auto"/>
            <w:noWrap/>
            <w:vAlign w:val="bottom"/>
            <w:hideMark/>
          </w:tcPr>
          <w:p w14:paraId="28046EDE" w14:textId="61807042" w:rsidR="00064F7E" w:rsidRPr="00EC690A" w:rsidRDefault="00064F7E" w:rsidP="00C4197C">
            <w:pPr>
              <w:rPr>
                <w:color w:val="000000"/>
                <w:sz w:val="18"/>
                <w:szCs w:val="18"/>
                <w:lang w:eastAsia="en-GB"/>
              </w:rPr>
            </w:pPr>
            <w:r>
              <w:rPr>
                <w:color w:val="000000"/>
                <w:sz w:val="18"/>
                <w:szCs w:val="18"/>
                <w:lang w:eastAsia="en-GB"/>
              </w:rPr>
              <w:t>Revaluation reserve as at 1 January</w:t>
            </w:r>
          </w:p>
        </w:tc>
        <w:tc>
          <w:tcPr>
            <w:tcW w:w="807" w:type="pct"/>
            <w:tcBorders>
              <w:top w:val="nil"/>
              <w:left w:val="nil"/>
              <w:bottom w:val="nil"/>
              <w:right w:val="nil"/>
            </w:tcBorders>
            <w:shd w:val="clear" w:color="auto" w:fill="auto"/>
            <w:noWrap/>
            <w:vAlign w:val="bottom"/>
          </w:tcPr>
          <w:p w14:paraId="126A1A99" w14:textId="4BBBC5BD" w:rsidR="00064F7E" w:rsidRPr="00ED4A6C" w:rsidRDefault="003D3688" w:rsidP="00C4197C">
            <w:pPr>
              <w:jc w:val="right"/>
              <w:rPr>
                <w:b/>
                <w:bCs/>
                <w:color w:val="000000"/>
                <w:sz w:val="18"/>
                <w:szCs w:val="18"/>
                <w:lang w:eastAsia="en-GB"/>
              </w:rPr>
            </w:pPr>
            <w:r w:rsidRPr="00ED4A6C">
              <w:rPr>
                <w:b/>
                <w:bCs/>
                <w:color w:val="000000"/>
                <w:sz w:val="18"/>
                <w:szCs w:val="18"/>
                <w:lang w:eastAsia="en-GB"/>
              </w:rPr>
              <w:t>66,820</w:t>
            </w:r>
          </w:p>
        </w:tc>
        <w:tc>
          <w:tcPr>
            <w:tcW w:w="887" w:type="pct"/>
            <w:tcBorders>
              <w:top w:val="nil"/>
              <w:left w:val="nil"/>
              <w:bottom w:val="nil"/>
              <w:right w:val="nil"/>
            </w:tcBorders>
            <w:shd w:val="clear" w:color="auto" w:fill="auto"/>
            <w:noWrap/>
            <w:vAlign w:val="bottom"/>
            <w:hideMark/>
          </w:tcPr>
          <w:p w14:paraId="0B8B251E" w14:textId="22889D84" w:rsidR="00064F7E" w:rsidRPr="00ED4A6C" w:rsidRDefault="00064F7E" w:rsidP="00C4197C">
            <w:pPr>
              <w:jc w:val="right"/>
              <w:rPr>
                <w:color w:val="000000"/>
                <w:sz w:val="18"/>
                <w:szCs w:val="18"/>
                <w:lang w:eastAsia="en-GB"/>
              </w:rPr>
            </w:pPr>
            <w:r w:rsidRPr="00ED4A6C">
              <w:rPr>
                <w:color w:val="000000"/>
                <w:sz w:val="18"/>
                <w:szCs w:val="18"/>
              </w:rPr>
              <w:t>71,874</w:t>
            </w:r>
          </w:p>
        </w:tc>
      </w:tr>
      <w:tr w:rsidR="00064F7E" w:rsidRPr="00EC690A" w14:paraId="11DB72D4" w14:textId="77777777" w:rsidTr="00064F7E">
        <w:trPr>
          <w:trHeight w:val="300"/>
        </w:trPr>
        <w:tc>
          <w:tcPr>
            <w:tcW w:w="3306" w:type="pct"/>
            <w:tcBorders>
              <w:top w:val="nil"/>
              <w:left w:val="nil"/>
              <w:bottom w:val="nil"/>
              <w:right w:val="nil"/>
            </w:tcBorders>
            <w:shd w:val="clear" w:color="auto" w:fill="auto"/>
            <w:noWrap/>
            <w:vAlign w:val="bottom"/>
          </w:tcPr>
          <w:p w14:paraId="71465AD0" w14:textId="15C7742E" w:rsidR="00064F7E" w:rsidRDefault="00064F7E" w:rsidP="00C4197C">
            <w:pPr>
              <w:rPr>
                <w:color w:val="000000"/>
                <w:sz w:val="18"/>
                <w:szCs w:val="18"/>
                <w:lang w:eastAsia="en-GB"/>
              </w:rPr>
            </w:pPr>
            <w:r>
              <w:rPr>
                <w:color w:val="000000"/>
                <w:sz w:val="18"/>
                <w:szCs w:val="18"/>
                <w:lang w:eastAsia="en-GB"/>
              </w:rPr>
              <w:t>Depreciation charge utilisation</w:t>
            </w:r>
          </w:p>
        </w:tc>
        <w:tc>
          <w:tcPr>
            <w:tcW w:w="807" w:type="pct"/>
            <w:tcBorders>
              <w:top w:val="nil"/>
              <w:left w:val="nil"/>
              <w:bottom w:val="nil"/>
              <w:right w:val="nil"/>
            </w:tcBorders>
            <w:shd w:val="clear" w:color="auto" w:fill="auto"/>
            <w:noWrap/>
            <w:vAlign w:val="bottom"/>
          </w:tcPr>
          <w:p w14:paraId="3316E110" w14:textId="558D2691" w:rsidR="00064F7E" w:rsidRPr="00ED4A6C" w:rsidRDefault="003D3688" w:rsidP="00C4197C">
            <w:pPr>
              <w:jc w:val="right"/>
              <w:rPr>
                <w:b/>
                <w:bCs/>
                <w:color w:val="000000"/>
                <w:sz w:val="18"/>
                <w:szCs w:val="18"/>
                <w:lang w:eastAsia="en-GB"/>
              </w:rPr>
            </w:pPr>
            <w:r w:rsidRPr="00ED4A6C">
              <w:rPr>
                <w:b/>
                <w:bCs/>
                <w:color w:val="000000"/>
                <w:sz w:val="18"/>
                <w:szCs w:val="18"/>
                <w:lang w:eastAsia="en-GB"/>
              </w:rPr>
              <w:t>(6,317)</w:t>
            </w:r>
          </w:p>
        </w:tc>
        <w:tc>
          <w:tcPr>
            <w:tcW w:w="887" w:type="pct"/>
            <w:tcBorders>
              <w:top w:val="nil"/>
              <w:left w:val="nil"/>
              <w:bottom w:val="nil"/>
              <w:right w:val="nil"/>
            </w:tcBorders>
            <w:shd w:val="clear" w:color="auto" w:fill="auto"/>
            <w:noWrap/>
            <w:vAlign w:val="bottom"/>
          </w:tcPr>
          <w:p w14:paraId="0FC4F443" w14:textId="2772AC51" w:rsidR="00064F7E" w:rsidRPr="00ED4A6C" w:rsidRDefault="00064F7E" w:rsidP="00C4197C">
            <w:pPr>
              <w:jc w:val="right"/>
              <w:rPr>
                <w:color w:val="000000"/>
                <w:sz w:val="18"/>
                <w:szCs w:val="18"/>
              </w:rPr>
            </w:pPr>
            <w:r w:rsidRPr="00ED4A6C">
              <w:rPr>
                <w:color w:val="000000"/>
                <w:sz w:val="18"/>
                <w:szCs w:val="18"/>
              </w:rPr>
              <w:t>(6,317)</w:t>
            </w:r>
          </w:p>
        </w:tc>
      </w:tr>
      <w:tr w:rsidR="00064F7E" w:rsidRPr="00EC690A" w14:paraId="0BD09A58" w14:textId="77777777" w:rsidTr="00064F7E">
        <w:trPr>
          <w:trHeight w:val="300"/>
        </w:trPr>
        <w:tc>
          <w:tcPr>
            <w:tcW w:w="3306" w:type="pct"/>
            <w:tcBorders>
              <w:top w:val="nil"/>
              <w:left w:val="nil"/>
              <w:bottom w:val="nil"/>
              <w:right w:val="nil"/>
            </w:tcBorders>
            <w:shd w:val="clear" w:color="auto" w:fill="auto"/>
            <w:noWrap/>
            <w:vAlign w:val="bottom"/>
          </w:tcPr>
          <w:p w14:paraId="6693464D" w14:textId="64DF3A1E" w:rsidR="00064F7E" w:rsidRPr="00EC690A" w:rsidRDefault="00064F7E" w:rsidP="00C4197C">
            <w:pPr>
              <w:rPr>
                <w:color w:val="000000"/>
                <w:sz w:val="18"/>
                <w:szCs w:val="18"/>
                <w:lang w:eastAsia="en-GB"/>
              </w:rPr>
            </w:pPr>
            <w:r>
              <w:rPr>
                <w:color w:val="000000"/>
                <w:sz w:val="18"/>
                <w:szCs w:val="18"/>
                <w:lang w:eastAsia="en-GB"/>
              </w:rPr>
              <w:t>Deferred tax liabilities utilisation</w:t>
            </w:r>
          </w:p>
        </w:tc>
        <w:tc>
          <w:tcPr>
            <w:tcW w:w="807" w:type="pct"/>
            <w:tcBorders>
              <w:top w:val="nil"/>
              <w:left w:val="nil"/>
              <w:bottom w:val="nil"/>
              <w:right w:val="nil"/>
            </w:tcBorders>
            <w:shd w:val="clear" w:color="auto" w:fill="auto"/>
            <w:noWrap/>
            <w:vAlign w:val="bottom"/>
          </w:tcPr>
          <w:p w14:paraId="105A669E" w14:textId="76D176FF" w:rsidR="00064F7E" w:rsidRPr="00ED4A6C" w:rsidRDefault="003D3688" w:rsidP="00C4197C">
            <w:pPr>
              <w:jc w:val="right"/>
              <w:rPr>
                <w:b/>
                <w:bCs/>
                <w:color w:val="000000"/>
                <w:sz w:val="18"/>
                <w:szCs w:val="18"/>
              </w:rPr>
            </w:pPr>
            <w:r w:rsidRPr="00ED4A6C">
              <w:rPr>
                <w:b/>
                <w:bCs/>
                <w:color w:val="000000"/>
                <w:sz w:val="18"/>
                <w:szCs w:val="18"/>
              </w:rPr>
              <w:t>1,263</w:t>
            </w:r>
          </w:p>
        </w:tc>
        <w:tc>
          <w:tcPr>
            <w:tcW w:w="887" w:type="pct"/>
            <w:tcBorders>
              <w:top w:val="nil"/>
              <w:left w:val="nil"/>
              <w:bottom w:val="nil"/>
              <w:right w:val="nil"/>
            </w:tcBorders>
            <w:shd w:val="clear" w:color="auto" w:fill="auto"/>
            <w:noWrap/>
            <w:vAlign w:val="bottom"/>
          </w:tcPr>
          <w:p w14:paraId="771F6E1F" w14:textId="1DC1EF04" w:rsidR="00064F7E" w:rsidRPr="00ED4A6C" w:rsidRDefault="003D3688" w:rsidP="00C4197C">
            <w:pPr>
              <w:jc w:val="right"/>
              <w:rPr>
                <w:color w:val="000000"/>
                <w:sz w:val="18"/>
                <w:szCs w:val="18"/>
              </w:rPr>
            </w:pPr>
            <w:r w:rsidRPr="00ED4A6C">
              <w:rPr>
                <w:color w:val="000000"/>
                <w:sz w:val="18"/>
                <w:szCs w:val="18"/>
              </w:rPr>
              <w:t>1,263</w:t>
            </w:r>
          </w:p>
        </w:tc>
      </w:tr>
      <w:tr w:rsidR="00064F7E" w:rsidRPr="00EC690A" w14:paraId="238E3A73" w14:textId="77777777" w:rsidTr="00064F7E">
        <w:trPr>
          <w:trHeight w:val="315"/>
        </w:trPr>
        <w:tc>
          <w:tcPr>
            <w:tcW w:w="3306" w:type="pct"/>
            <w:tcBorders>
              <w:top w:val="single" w:sz="4" w:space="0" w:color="auto"/>
              <w:left w:val="nil"/>
              <w:bottom w:val="double" w:sz="6" w:space="0" w:color="auto"/>
              <w:right w:val="nil"/>
            </w:tcBorders>
            <w:shd w:val="clear" w:color="auto" w:fill="auto"/>
            <w:noWrap/>
            <w:vAlign w:val="bottom"/>
            <w:hideMark/>
          </w:tcPr>
          <w:p w14:paraId="5CBDD7D7" w14:textId="016F1692" w:rsidR="00064F7E" w:rsidRPr="00EC690A" w:rsidRDefault="003D3688" w:rsidP="00C4197C">
            <w:pPr>
              <w:rPr>
                <w:b/>
                <w:bCs/>
                <w:color w:val="000000"/>
                <w:sz w:val="18"/>
                <w:szCs w:val="18"/>
                <w:lang w:eastAsia="en-GB"/>
              </w:rPr>
            </w:pPr>
            <w:r>
              <w:rPr>
                <w:b/>
                <w:bCs/>
                <w:color w:val="000000"/>
                <w:sz w:val="18"/>
                <w:szCs w:val="18"/>
                <w:lang w:eastAsia="en-GB"/>
              </w:rPr>
              <w:t>Revaluation reserve as at 31 December</w:t>
            </w:r>
          </w:p>
        </w:tc>
        <w:tc>
          <w:tcPr>
            <w:tcW w:w="807" w:type="pct"/>
            <w:tcBorders>
              <w:top w:val="single" w:sz="4" w:space="0" w:color="auto"/>
              <w:left w:val="nil"/>
              <w:bottom w:val="double" w:sz="6" w:space="0" w:color="auto"/>
              <w:right w:val="nil"/>
            </w:tcBorders>
            <w:shd w:val="clear" w:color="auto" w:fill="auto"/>
            <w:noWrap/>
            <w:vAlign w:val="bottom"/>
          </w:tcPr>
          <w:p w14:paraId="105189E3" w14:textId="1EA70D71" w:rsidR="00064F7E" w:rsidRPr="00ED4A6C" w:rsidRDefault="003D3688" w:rsidP="00C4197C">
            <w:pPr>
              <w:jc w:val="right"/>
              <w:rPr>
                <w:b/>
                <w:bCs/>
                <w:color w:val="000000"/>
                <w:sz w:val="18"/>
                <w:szCs w:val="18"/>
                <w:lang w:eastAsia="en-GB"/>
              </w:rPr>
            </w:pPr>
            <w:r w:rsidRPr="00ED4A6C">
              <w:rPr>
                <w:b/>
                <w:bCs/>
                <w:color w:val="000000"/>
                <w:sz w:val="18"/>
                <w:szCs w:val="18"/>
                <w:lang w:eastAsia="en-GB"/>
              </w:rPr>
              <w:t>61,766</w:t>
            </w:r>
          </w:p>
        </w:tc>
        <w:tc>
          <w:tcPr>
            <w:tcW w:w="887" w:type="pct"/>
            <w:tcBorders>
              <w:top w:val="single" w:sz="4" w:space="0" w:color="auto"/>
              <w:left w:val="nil"/>
              <w:bottom w:val="double" w:sz="6" w:space="0" w:color="auto"/>
              <w:right w:val="nil"/>
            </w:tcBorders>
            <w:shd w:val="clear" w:color="auto" w:fill="auto"/>
            <w:noWrap/>
            <w:vAlign w:val="bottom"/>
            <w:hideMark/>
          </w:tcPr>
          <w:p w14:paraId="23237D64" w14:textId="03FCEADD" w:rsidR="00064F7E" w:rsidRPr="00ED4A6C" w:rsidRDefault="003D3688" w:rsidP="00C4197C">
            <w:pPr>
              <w:jc w:val="right"/>
              <w:rPr>
                <w:color w:val="000000"/>
                <w:sz w:val="18"/>
                <w:szCs w:val="18"/>
                <w:lang w:eastAsia="en-GB"/>
              </w:rPr>
            </w:pPr>
            <w:r w:rsidRPr="00ED4A6C">
              <w:rPr>
                <w:color w:val="000000"/>
                <w:sz w:val="18"/>
                <w:szCs w:val="18"/>
              </w:rPr>
              <w:t>66,820</w:t>
            </w:r>
          </w:p>
        </w:tc>
      </w:tr>
    </w:tbl>
    <w:p w14:paraId="67777844" w14:textId="77777777" w:rsidR="00064F7E" w:rsidRPr="00064F7E" w:rsidRDefault="00064F7E" w:rsidP="00064F7E">
      <w:pPr>
        <w:spacing w:before="120" w:after="120"/>
        <w:jc w:val="both"/>
        <w:rPr>
          <w:sz w:val="18"/>
          <w:szCs w:val="18"/>
        </w:rPr>
      </w:pPr>
    </w:p>
    <w:p w14:paraId="37F88361" w14:textId="77777777" w:rsidR="00064F7E" w:rsidRDefault="00064F7E" w:rsidP="00064F7E">
      <w:pPr>
        <w:rPr>
          <w:b/>
          <w:bCs/>
          <w:sz w:val="18"/>
          <w:szCs w:val="18"/>
        </w:rPr>
      </w:pPr>
    </w:p>
    <w:p w14:paraId="063C3DDE" w14:textId="402DCC04" w:rsidR="00064F7E" w:rsidRPr="00064F7E" w:rsidRDefault="00064F7E" w:rsidP="00064F7E">
      <w:pPr>
        <w:rPr>
          <w:sz w:val="18"/>
          <w:szCs w:val="18"/>
        </w:rPr>
        <w:sectPr w:rsidR="00064F7E" w:rsidRPr="00064F7E" w:rsidSect="00AC5A38">
          <w:pgSz w:w="11906" w:h="16838" w:code="9"/>
          <w:pgMar w:top="1440" w:right="1440" w:bottom="1440" w:left="1701" w:header="709" w:footer="709" w:gutter="0"/>
          <w:cols w:space="708"/>
          <w:docGrid w:linePitch="360"/>
        </w:sectPr>
      </w:pPr>
    </w:p>
    <w:p w14:paraId="3B7A486F" w14:textId="5DB3A905" w:rsidR="006304E8" w:rsidRDefault="003D3688" w:rsidP="003D3688">
      <w:pPr>
        <w:pStyle w:val="ListParagraph"/>
        <w:numPr>
          <w:ilvl w:val="0"/>
          <w:numId w:val="1"/>
        </w:numPr>
        <w:spacing w:before="120" w:after="120"/>
        <w:ind w:left="357" w:hanging="357"/>
        <w:contextualSpacing w:val="0"/>
        <w:outlineLvl w:val="0"/>
        <w:rPr>
          <w:b/>
          <w:bCs/>
          <w:sz w:val="18"/>
          <w:szCs w:val="18"/>
          <w:lang w:val="en-US"/>
        </w:rPr>
      </w:pPr>
      <w:bookmarkStart w:id="64" w:name="_Toc57894908"/>
      <w:r>
        <w:rPr>
          <w:b/>
          <w:bCs/>
          <w:sz w:val="18"/>
          <w:szCs w:val="18"/>
          <w:lang w:val="en-US"/>
        </w:rPr>
        <w:lastRenderedPageBreak/>
        <w:t>Premiums and claims analysis</w:t>
      </w:r>
      <w:bookmarkEnd w:id="64"/>
    </w:p>
    <w:p w14:paraId="1F70A109" w14:textId="37665886" w:rsidR="003D3688" w:rsidRPr="003D3688" w:rsidRDefault="003D3688" w:rsidP="003D3688">
      <w:pPr>
        <w:rPr>
          <w:sz w:val="18"/>
          <w:szCs w:val="18"/>
          <w:lang w:val="en-US"/>
        </w:rPr>
      </w:pPr>
      <w:r>
        <w:rPr>
          <w:sz w:val="18"/>
          <w:szCs w:val="18"/>
          <w:lang w:val="en-US"/>
        </w:rPr>
        <w:t>Below is the analysis of premiums and claims by line of the Company’s business for the year ended 31 December 2019:</w:t>
      </w:r>
    </w:p>
    <w:tbl>
      <w:tblPr>
        <w:tblW w:w="5000" w:type="pct"/>
        <w:tblLook w:val="04A0" w:firstRow="1" w:lastRow="0" w:firstColumn="1" w:lastColumn="0" w:noHBand="0" w:noVBand="1"/>
      </w:tblPr>
      <w:tblGrid>
        <w:gridCol w:w="6139"/>
        <w:gridCol w:w="1031"/>
        <w:gridCol w:w="1054"/>
        <w:gridCol w:w="1078"/>
        <w:gridCol w:w="1170"/>
        <w:gridCol w:w="1232"/>
        <w:gridCol w:w="1035"/>
        <w:gridCol w:w="1219"/>
      </w:tblGrid>
      <w:tr w:rsidR="003D3688" w:rsidRPr="00EC690A" w14:paraId="73F4E426" w14:textId="77777777" w:rsidTr="00995233">
        <w:trPr>
          <w:trHeight w:val="894"/>
        </w:trPr>
        <w:tc>
          <w:tcPr>
            <w:tcW w:w="2199" w:type="pct"/>
            <w:tcBorders>
              <w:top w:val="nil"/>
              <w:left w:val="nil"/>
              <w:bottom w:val="single" w:sz="4" w:space="0" w:color="auto"/>
              <w:right w:val="nil"/>
            </w:tcBorders>
            <w:shd w:val="clear" w:color="auto" w:fill="auto"/>
            <w:vAlign w:val="bottom"/>
            <w:hideMark/>
          </w:tcPr>
          <w:p w14:paraId="09299D6F" w14:textId="77777777" w:rsidR="003D3688" w:rsidRPr="00EC690A" w:rsidRDefault="003D3688" w:rsidP="000B68BF">
            <w:pPr>
              <w:jc w:val="center"/>
              <w:rPr>
                <w:color w:val="000000"/>
                <w:sz w:val="18"/>
                <w:szCs w:val="18"/>
                <w:lang w:eastAsia="en-GB"/>
              </w:rPr>
            </w:pPr>
            <w:r w:rsidRPr="00EC690A">
              <w:rPr>
                <w:color w:val="000000"/>
                <w:sz w:val="18"/>
                <w:szCs w:val="18"/>
                <w:lang w:eastAsia="en-GB"/>
              </w:rPr>
              <w:t> </w:t>
            </w:r>
          </w:p>
        </w:tc>
        <w:tc>
          <w:tcPr>
            <w:tcW w:w="375" w:type="pct"/>
            <w:tcBorders>
              <w:top w:val="nil"/>
              <w:left w:val="nil"/>
              <w:bottom w:val="single" w:sz="4" w:space="0" w:color="auto"/>
              <w:right w:val="nil"/>
            </w:tcBorders>
            <w:shd w:val="clear" w:color="auto" w:fill="auto"/>
            <w:vAlign w:val="center"/>
            <w:hideMark/>
          </w:tcPr>
          <w:p w14:paraId="1C896399" w14:textId="7B6C07B7" w:rsidR="003D3688" w:rsidRPr="00EC690A" w:rsidRDefault="003D3688" w:rsidP="000B68BF">
            <w:pPr>
              <w:jc w:val="right"/>
              <w:rPr>
                <w:b/>
                <w:bCs/>
                <w:color w:val="000000"/>
                <w:sz w:val="18"/>
                <w:szCs w:val="18"/>
                <w:lang w:eastAsia="en-GB"/>
              </w:rPr>
            </w:pPr>
            <w:r>
              <w:rPr>
                <w:b/>
                <w:bCs/>
                <w:color w:val="000000"/>
                <w:sz w:val="18"/>
                <w:szCs w:val="18"/>
                <w:lang w:eastAsia="en-GB"/>
              </w:rPr>
              <w:t>Insurance from fire</w:t>
            </w:r>
          </w:p>
        </w:tc>
        <w:tc>
          <w:tcPr>
            <w:tcW w:w="404" w:type="pct"/>
            <w:tcBorders>
              <w:top w:val="nil"/>
              <w:left w:val="nil"/>
              <w:bottom w:val="single" w:sz="4" w:space="0" w:color="auto"/>
              <w:right w:val="nil"/>
            </w:tcBorders>
            <w:vAlign w:val="center"/>
          </w:tcPr>
          <w:p w14:paraId="604F6171" w14:textId="6C140AF7" w:rsidR="003D3688" w:rsidRPr="00EC690A" w:rsidRDefault="003D3688" w:rsidP="000B68BF">
            <w:pPr>
              <w:jc w:val="right"/>
              <w:rPr>
                <w:b/>
                <w:bCs/>
                <w:color w:val="000000"/>
                <w:sz w:val="18"/>
                <w:szCs w:val="18"/>
                <w:lang w:eastAsia="en-GB"/>
              </w:rPr>
            </w:pPr>
            <w:r>
              <w:rPr>
                <w:b/>
                <w:bCs/>
                <w:color w:val="000000"/>
                <w:sz w:val="18"/>
                <w:szCs w:val="18"/>
                <w:lang w:eastAsia="en-GB"/>
              </w:rPr>
              <w:t>Vehicle insurance</w:t>
            </w:r>
          </w:p>
        </w:tc>
        <w:tc>
          <w:tcPr>
            <w:tcW w:w="404" w:type="pct"/>
            <w:tcBorders>
              <w:top w:val="nil"/>
              <w:left w:val="nil"/>
              <w:bottom w:val="single" w:sz="4" w:space="0" w:color="auto"/>
              <w:right w:val="nil"/>
            </w:tcBorders>
            <w:shd w:val="clear" w:color="auto" w:fill="auto"/>
            <w:vAlign w:val="center"/>
            <w:hideMark/>
          </w:tcPr>
          <w:p w14:paraId="5DBEA7DE" w14:textId="29C7C398" w:rsidR="003D3688" w:rsidRPr="00EC690A" w:rsidRDefault="003D3688" w:rsidP="000B68BF">
            <w:pPr>
              <w:jc w:val="right"/>
              <w:rPr>
                <w:b/>
                <w:bCs/>
                <w:color w:val="000000"/>
                <w:sz w:val="18"/>
                <w:szCs w:val="18"/>
                <w:lang w:eastAsia="en-GB"/>
              </w:rPr>
            </w:pPr>
            <w:r>
              <w:rPr>
                <w:b/>
                <w:bCs/>
                <w:color w:val="000000"/>
                <w:sz w:val="18"/>
                <w:szCs w:val="18"/>
                <w:lang w:eastAsia="en-GB"/>
              </w:rPr>
              <w:t>Liability insurance</w:t>
            </w:r>
          </w:p>
        </w:tc>
        <w:tc>
          <w:tcPr>
            <w:tcW w:w="437" w:type="pct"/>
            <w:tcBorders>
              <w:top w:val="nil"/>
              <w:left w:val="nil"/>
              <w:bottom w:val="single" w:sz="4" w:space="0" w:color="auto"/>
              <w:right w:val="nil"/>
            </w:tcBorders>
            <w:shd w:val="clear" w:color="auto" w:fill="auto"/>
            <w:vAlign w:val="center"/>
            <w:hideMark/>
          </w:tcPr>
          <w:p w14:paraId="763ACDD5" w14:textId="1DB77594" w:rsidR="003D3688" w:rsidRPr="00EC690A" w:rsidRDefault="003D3688" w:rsidP="000B68BF">
            <w:pPr>
              <w:jc w:val="right"/>
              <w:rPr>
                <w:b/>
                <w:bCs/>
                <w:color w:val="000000"/>
                <w:sz w:val="18"/>
                <w:szCs w:val="18"/>
                <w:lang w:eastAsia="en-GB"/>
              </w:rPr>
            </w:pPr>
            <w:r>
              <w:rPr>
                <w:b/>
                <w:bCs/>
                <w:color w:val="000000"/>
                <w:sz w:val="18"/>
                <w:szCs w:val="18"/>
                <w:lang w:eastAsia="en-GB"/>
              </w:rPr>
              <w:t>Travel insurance</w:t>
            </w:r>
          </w:p>
        </w:tc>
        <w:tc>
          <w:tcPr>
            <w:tcW w:w="459" w:type="pct"/>
            <w:tcBorders>
              <w:top w:val="nil"/>
              <w:left w:val="nil"/>
              <w:bottom w:val="single" w:sz="4" w:space="0" w:color="auto"/>
              <w:right w:val="nil"/>
            </w:tcBorders>
            <w:shd w:val="clear" w:color="auto" w:fill="auto"/>
            <w:vAlign w:val="center"/>
            <w:hideMark/>
          </w:tcPr>
          <w:p w14:paraId="48F74A95" w14:textId="27D6BC6E" w:rsidR="003D3688" w:rsidRPr="00EC690A" w:rsidRDefault="003D3688" w:rsidP="000B68BF">
            <w:pPr>
              <w:jc w:val="right"/>
              <w:rPr>
                <w:b/>
                <w:bCs/>
                <w:color w:val="000000"/>
                <w:sz w:val="18"/>
                <w:szCs w:val="18"/>
                <w:lang w:eastAsia="en-GB"/>
              </w:rPr>
            </w:pPr>
            <w:r>
              <w:rPr>
                <w:b/>
                <w:bCs/>
                <w:color w:val="000000"/>
                <w:sz w:val="18"/>
                <w:szCs w:val="18"/>
                <w:lang w:eastAsia="en-GB"/>
              </w:rPr>
              <w:t>Medical insurance</w:t>
            </w:r>
          </w:p>
        </w:tc>
        <w:tc>
          <w:tcPr>
            <w:tcW w:w="371" w:type="pct"/>
            <w:tcBorders>
              <w:top w:val="nil"/>
              <w:left w:val="nil"/>
              <w:bottom w:val="single" w:sz="4" w:space="0" w:color="auto"/>
              <w:right w:val="nil"/>
            </w:tcBorders>
            <w:shd w:val="clear" w:color="auto" w:fill="auto"/>
            <w:vAlign w:val="center"/>
            <w:hideMark/>
          </w:tcPr>
          <w:p w14:paraId="51F506AD" w14:textId="6639520E" w:rsidR="003D3688" w:rsidRPr="00EC690A" w:rsidRDefault="003D3688" w:rsidP="000B68BF">
            <w:pPr>
              <w:jc w:val="right"/>
              <w:rPr>
                <w:b/>
                <w:bCs/>
                <w:color w:val="000000"/>
                <w:sz w:val="18"/>
                <w:szCs w:val="18"/>
                <w:lang w:eastAsia="en-GB"/>
              </w:rPr>
            </w:pPr>
            <w:r w:rsidRPr="00EC690A">
              <w:rPr>
                <w:b/>
                <w:bCs/>
                <w:color w:val="000000"/>
                <w:sz w:val="18"/>
                <w:szCs w:val="18"/>
                <w:lang w:eastAsia="en-GB"/>
              </w:rPr>
              <w:t>Other</w:t>
            </w:r>
            <w:r>
              <w:rPr>
                <w:b/>
                <w:bCs/>
                <w:color w:val="000000"/>
                <w:sz w:val="18"/>
                <w:szCs w:val="18"/>
                <w:lang w:eastAsia="en-GB"/>
              </w:rPr>
              <w:t xml:space="preserve"> insurance</w:t>
            </w:r>
          </w:p>
        </w:tc>
        <w:tc>
          <w:tcPr>
            <w:tcW w:w="350" w:type="pct"/>
            <w:tcBorders>
              <w:top w:val="nil"/>
              <w:left w:val="nil"/>
              <w:bottom w:val="single" w:sz="4" w:space="0" w:color="auto"/>
              <w:right w:val="nil"/>
            </w:tcBorders>
            <w:shd w:val="clear" w:color="auto" w:fill="auto"/>
            <w:vAlign w:val="center"/>
            <w:hideMark/>
          </w:tcPr>
          <w:p w14:paraId="400DFECD" w14:textId="77777777" w:rsidR="003D3688" w:rsidRPr="00EC690A" w:rsidRDefault="003D3688" w:rsidP="000B68BF">
            <w:pPr>
              <w:jc w:val="right"/>
              <w:rPr>
                <w:b/>
                <w:bCs/>
                <w:color w:val="000000"/>
                <w:sz w:val="18"/>
                <w:szCs w:val="18"/>
                <w:lang w:eastAsia="en-GB"/>
              </w:rPr>
            </w:pPr>
            <w:r w:rsidRPr="00EC690A">
              <w:rPr>
                <w:b/>
                <w:bCs/>
                <w:color w:val="000000"/>
                <w:sz w:val="18"/>
                <w:szCs w:val="18"/>
                <w:lang w:eastAsia="en-GB"/>
              </w:rPr>
              <w:t>Total</w:t>
            </w:r>
          </w:p>
        </w:tc>
      </w:tr>
      <w:tr w:rsidR="003D3688" w:rsidRPr="00EC690A" w14:paraId="3CBDCAB5" w14:textId="77777777" w:rsidTr="00995233">
        <w:trPr>
          <w:trHeight w:val="300"/>
        </w:trPr>
        <w:tc>
          <w:tcPr>
            <w:tcW w:w="2199" w:type="pct"/>
            <w:tcBorders>
              <w:top w:val="nil"/>
              <w:left w:val="nil"/>
              <w:bottom w:val="nil"/>
              <w:right w:val="nil"/>
            </w:tcBorders>
            <w:shd w:val="clear" w:color="auto" w:fill="auto"/>
            <w:noWrap/>
            <w:vAlign w:val="bottom"/>
            <w:hideMark/>
          </w:tcPr>
          <w:p w14:paraId="3A3E49D7" w14:textId="34EB352D" w:rsidR="003D3688" w:rsidRPr="00EC690A" w:rsidRDefault="003D3688" w:rsidP="000B68BF">
            <w:pPr>
              <w:rPr>
                <w:color w:val="000000"/>
                <w:sz w:val="18"/>
                <w:szCs w:val="18"/>
                <w:lang w:eastAsia="en-GB"/>
              </w:rPr>
            </w:pPr>
            <w:r>
              <w:rPr>
                <w:color w:val="000000"/>
                <w:sz w:val="18"/>
                <w:szCs w:val="18"/>
                <w:lang w:eastAsia="en-GB"/>
              </w:rPr>
              <w:t>Gross written premiums (Note 31)</w:t>
            </w:r>
          </w:p>
        </w:tc>
        <w:tc>
          <w:tcPr>
            <w:tcW w:w="375" w:type="pct"/>
            <w:tcBorders>
              <w:top w:val="nil"/>
              <w:left w:val="nil"/>
              <w:bottom w:val="nil"/>
              <w:right w:val="nil"/>
            </w:tcBorders>
            <w:shd w:val="clear" w:color="auto" w:fill="auto"/>
            <w:noWrap/>
            <w:vAlign w:val="bottom"/>
          </w:tcPr>
          <w:p w14:paraId="02A39261" w14:textId="4210F0B9" w:rsidR="003D3688" w:rsidRPr="00EC690A" w:rsidRDefault="004A3FBA" w:rsidP="000B68BF">
            <w:pPr>
              <w:jc w:val="right"/>
              <w:rPr>
                <w:color w:val="000000"/>
                <w:sz w:val="18"/>
                <w:szCs w:val="18"/>
                <w:lang w:eastAsia="en-GB"/>
              </w:rPr>
            </w:pPr>
            <w:r>
              <w:rPr>
                <w:color w:val="000000"/>
                <w:sz w:val="18"/>
                <w:szCs w:val="18"/>
                <w:lang w:eastAsia="en-GB"/>
              </w:rPr>
              <w:t>497,160</w:t>
            </w:r>
          </w:p>
        </w:tc>
        <w:tc>
          <w:tcPr>
            <w:tcW w:w="404" w:type="pct"/>
            <w:tcBorders>
              <w:top w:val="nil"/>
              <w:left w:val="nil"/>
              <w:bottom w:val="nil"/>
              <w:right w:val="nil"/>
            </w:tcBorders>
            <w:vAlign w:val="bottom"/>
          </w:tcPr>
          <w:p w14:paraId="66882B05" w14:textId="18594EFD" w:rsidR="003D3688" w:rsidRPr="00A82E69" w:rsidRDefault="00A82E69" w:rsidP="003D3688">
            <w:pPr>
              <w:jc w:val="right"/>
              <w:rPr>
                <w:color w:val="000000"/>
                <w:sz w:val="18"/>
                <w:szCs w:val="18"/>
                <w:lang w:val="ru-RU"/>
              </w:rPr>
            </w:pPr>
            <w:r>
              <w:rPr>
                <w:color w:val="000000"/>
                <w:sz w:val="18"/>
                <w:szCs w:val="18"/>
              </w:rPr>
              <w:t>1</w:t>
            </w:r>
            <w:r>
              <w:rPr>
                <w:color w:val="000000"/>
                <w:sz w:val="18"/>
                <w:szCs w:val="18"/>
                <w:lang w:val="ru-RU"/>
              </w:rPr>
              <w:t>,145,397</w:t>
            </w:r>
          </w:p>
        </w:tc>
        <w:tc>
          <w:tcPr>
            <w:tcW w:w="404" w:type="pct"/>
            <w:tcBorders>
              <w:top w:val="nil"/>
              <w:left w:val="nil"/>
              <w:bottom w:val="nil"/>
              <w:right w:val="nil"/>
            </w:tcBorders>
            <w:shd w:val="clear" w:color="auto" w:fill="auto"/>
            <w:noWrap/>
            <w:vAlign w:val="bottom"/>
          </w:tcPr>
          <w:p w14:paraId="58333B79" w14:textId="398D8893" w:rsidR="003D3688" w:rsidRPr="00A82E69" w:rsidRDefault="00A82E69" w:rsidP="000B68BF">
            <w:pPr>
              <w:jc w:val="right"/>
              <w:rPr>
                <w:color w:val="000000"/>
                <w:sz w:val="18"/>
                <w:szCs w:val="18"/>
                <w:lang w:val="ru-RU" w:eastAsia="en-GB"/>
              </w:rPr>
            </w:pPr>
            <w:r>
              <w:rPr>
                <w:color w:val="000000"/>
                <w:sz w:val="18"/>
                <w:szCs w:val="18"/>
                <w:lang w:val="ru-RU" w:eastAsia="en-GB"/>
              </w:rPr>
              <w:t>200,624</w:t>
            </w:r>
          </w:p>
        </w:tc>
        <w:tc>
          <w:tcPr>
            <w:tcW w:w="437" w:type="pct"/>
            <w:tcBorders>
              <w:top w:val="nil"/>
              <w:left w:val="nil"/>
              <w:bottom w:val="nil"/>
              <w:right w:val="nil"/>
            </w:tcBorders>
            <w:shd w:val="clear" w:color="auto" w:fill="auto"/>
            <w:noWrap/>
            <w:vAlign w:val="bottom"/>
          </w:tcPr>
          <w:p w14:paraId="407D7F8E" w14:textId="5807978D" w:rsidR="003D3688" w:rsidRPr="00A82E69" w:rsidRDefault="00A82E69" w:rsidP="000B68BF">
            <w:pPr>
              <w:jc w:val="right"/>
              <w:rPr>
                <w:color w:val="000000"/>
                <w:sz w:val="18"/>
                <w:szCs w:val="18"/>
                <w:lang w:val="ru-RU" w:eastAsia="en-GB"/>
              </w:rPr>
            </w:pPr>
            <w:r>
              <w:rPr>
                <w:color w:val="000000"/>
                <w:sz w:val="18"/>
                <w:szCs w:val="18"/>
                <w:lang w:val="ru-RU" w:eastAsia="en-GB"/>
              </w:rPr>
              <w:t>60,832</w:t>
            </w:r>
          </w:p>
        </w:tc>
        <w:tc>
          <w:tcPr>
            <w:tcW w:w="459" w:type="pct"/>
            <w:tcBorders>
              <w:top w:val="nil"/>
              <w:left w:val="nil"/>
              <w:bottom w:val="nil"/>
              <w:right w:val="nil"/>
            </w:tcBorders>
            <w:shd w:val="clear" w:color="auto" w:fill="auto"/>
            <w:noWrap/>
            <w:vAlign w:val="bottom"/>
          </w:tcPr>
          <w:p w14:paraId="299338F6" w14:textId="3B08B7F2" w:rsidR="003D3688" w:rsidRPr="00A82E69" w:rsidRDefault="00A82E69" w:rsidP="000B68BF">
            <w:pPr>
              <w:jc w:val="right"/>
              <w:rPr>
                <w:color w:val="000000"/>
                <w:sz w:val="18"/>
                <w:szCs w:val="18"/>
                <w:lang w:val="ru-RU" w:eastAsia="en-GB"/>
              </w:rPr>
            </w:pPr>
            <w:r>
              <w:rPr>
                <w:color w:val="000000"/>
                <w:sz w:val="18"/>
                <w:szCs w:val="18"/>
                <w:lang w:val="ru-RU" w:eastAsia="en-GB"/>
              </w:rPr>
              <w:t>12,816,432</w:t>
            </w:r>
          </w:p>
        </w:tc>
        <w:tc>
          <w:tcPr>
            <w:tcW w:w="371" w:type="pct"/>
            <w:tcBorders>
              <w:top w:val="nil"/>
              <w:left w:val="nil"/>
              <w:bottom w:val="nil"/>
              <w:right w:val="nil"/>
            </w:tcBorders>
            <w:shd w:val="clear" w:color="auto" w:fill="auto"/>
            <w:noWrap/>
            <w:vAlign w:val="bottom"/>
          </w:tcPr>
          <w:p w14:paraId="0FFD0F0F" w14:textId="54BF0521" w:rsidR="003D3688" w:rsidRPr="00A82E69" w:rsidRDefault="00A82E69" w:rsidP="000B68BF">
            <w:pPr>
              <w:jc w:val="right"/>
              <w:rPr>
                <w:color w:val="000000"/>
                <w:sz w:val="18"/>
                <w:szCs w:val="18"/>
                <w:lang w:val="ru-RU" w:eastAsia="en-GB"/>
              </w:rPr>
            </w:pPr>
            <w:r>
              <w:rPr>
                <w:color w:val="000000"/>
                <w:sz w:val="18"/>
                <w:szCs w:val="18"/>
                <w:lang w:val="ru-RU" w:eastAsia="en-GB"/>
              </w:rPr>
              <w:t>91,530</w:t>
            </w:r>
          </w:p>
        </w:tc>
        <w:tc>
          <w:tcPr>
            <w:tcW w:w="350" w:type="pct"/>
            <w:tcBorders>
              <w:top w:val="nil"/>
              <w:left w:val="nil"/>
              <w:bottom w:val="nil"/>
              <w:right w:val="nil"/>
            </w:tcBorders>
            <w:shd w:val="clear" w:color="auto" w:fill="auto"/>
            <w:noWrap/>
            <w:vAlign w:val="bottom"/>
          </w:tcPr>
          <w:p w14:paraId="7A37762E" w14:textId="5720983C" w:rsidR="003D3688" w:rsidRPr="00A82E69" w:rsidRDefault="00A82E69" w:rsidP="000B68BF">
            <w:pPr>
              <w:jc w:val="right"/>
              <w:rPr>
                <w:b/>
                <w:bCs/>
                <w:color w:val="000000"/>
                <w:sz w:val="18"/>
                <w:szCs w:val="18"/>
                <w:lang w:val="ru-RU" w:eastAsia="en-GB"/>
              </w:rPr>
            </w:pPr>
            <w:r>
              <w:rPr>
                <w:b/>
                <w:bCs/>
                <w:color w:val="000000"/>
                <w:sz w:val="18"/>
                <w:szCs w:val="18"/>
                <w:lang w:val="ru-RU" w:eastAsia="en-GB"/>
              </w:rPr>
              <w:t>14,811,975</w:t>
            </w:r>
          </w:p>
        </w:tc>
      </w:tr>
      <w:tr w:rsidR="003D3688" w:rsidRPr="00EC690A" w14:paraId="36DFF030" w14:textId="77777777" w:rsidTr="00995233">
        <w:trPr>
          <w:trHeight w:val="300"/>
        </w:trPr>
        <w:tc>
          <w:tcPr>
            <w:tcW w:w="2199" w:type="pct"/>
            <w:tcBorders>
              <w:top w:val="nil"/>
              <w:left w:val="nil"/>
              <w:bottom w:val="nil"/>
              <w:right w:val="nil"/>
            </w:tcBorders>
            <w:shd w:val="clear" w:color="auto" w:fill="auto"/>
            <w:noWrap/>
            <w:vAlign w:val="bottom"/>
            <w:hideMark/>
          </w:tcPr>
          <w:p w14:paraId="0A3F34FB" w14:textId="39D3DA8F" w:rsidR="003D3688" w:rsidRPr="00EC690A" w:rsidRDefault="003D3688" w:rsidP="000B68BF">
            <w:pPr>
              <w:rPr>
                <w:color w:val="000000"/>
                <w:sz w:val="18"/>
                <w:szCs w:val="18"/>
                <w:lang w:eastAsia="en-GB"/>
              </w:rPr>
            </w:pPr>
            <w:r>
              <w:rPr>
                <w:color w:val="000000"/>
                <w:sz w:val="18"/>
                <w:szCs w:val="18"/>
                <w:lang w:eastAsia="en-GB"/>
              </w:rPr>
              <w:t>Premiums ceded to reinsurers</w:t>
            </w:r>
          </w:p>
        </w:tc>
        <w:tc>
          <w:tcPr>
            <w:tcW w:w="375" w:type="pct"/>
            <w:tcBorders>
              <w:top w:val="nil"/>
              <w:left w:val="nil"/>
              <w:bottom w:val="nil"/>
              <w:right w:val="nil"/>
            </w:tcBorders>
            <w:shd w:val="clear" w:color="auto" w:fill="auto"/>
            <w:noWrap/>
            <w:vAlign w:val="bottom"/>
          </w:tcPr>
          <w:p w14:paraId="35E03855" w14:textId="7D319C76" w:rsidR="003D3688" w:rsidRPr="00EC690A" w:rsidRDefault="004A3FBA" w:rsidP="000B68BF">
            <w:pPr>
              <w:jc w:val="right"/>
              <w:rPr>
                <w:color w:val="000000"/>
                <w:sz w:val="18"/>
                <w:szCs w:val="18"/>
                <w:lang w:eastAsia="en-GB"/>
              </w:rPr>
            </w:pPr>
            <w:r>
              <w:rPr>
                <w:color w:val="000000"/>
                <w:sz w:val="18"/>
                <w:szCs w:val="18"/>
                <w:lang w:eastAsia="en-GB"/>
              </w:rPr>
              <w:t>(270,867)</w:t>
            </w:r>
          </w:p>
        </w:tc>
        <w:tc>
          <w:tcPr>
            <w:tcW w:w="404" w:type="pct"/>
            <w:tcBorders>
              <w:top w:val="nil"/>
              <w:left w:val="nil"/>
              <w:bottom w:val="nil"/>
              <w:right w:val="nil"/>
            </w:tcBorders>
            <w:vAlign w:val="bottom"/>
          </w:tcPr>
          <w:p w14:paraId="61059078" w14:textId="7787F147" w:rsidR="003D3688" w:rsidRPr="00A82E69" w:rsidRDefault="00A82E69" w:rsidP="003D3688">
            <w:pPr>
              <w:jc w:val="right"/>
              <w:rPr>
                <w:color w:val="000000"/>
                <w:sz w:val="18"/>
                <w:szCs w:val="18"/>
                <w:lang w:val="ru-RU"/>
              </w:rPr>
            </w:pPr>
            <w:r>
              <w:rPr>
                <w:color w:val="000000"/>
                <w:sz w:val="18"/>
                <w:szCs w:val="18"/>
                <w:lang w:val="ru-RU"/>
              </w:rPr>
              <w:t>(796,616)</w:t>
            </w:r>
          </w:p>
        </w:tc>
        <w:tc>
          <w:tcPr>
            <w:tcW w:w="404" w:type="pct"/>
            <w:tcBorders>
              <w:top w:val="nil"/>
              <w:left w:val="nil"/>
              <w:bottom w:val="nil"/>
              <w:right w:val="nil"/>
            </w:tcBorders>
            <w:shd w:val="clear" w:color="auto" w:fill="auto"/>
            <w:noWrap/>
            <w:vAlign w:val="bottom"/>
          </w:tcPr>
          <w:p w14:paraId="75DDE2BA" w14:textId="501F1244" w:rsidR="003D3688" w:rsidRPr="00A82E69" w:rsidRDefault="00A82E69" w:rsidP="000B68BF">
            <w:pPr>
              <w:jc w:val="right"/>
              <w:rPr>
                <w:color w:val="000000"/>
                <w:sz w:val="18"/>
                <w:szCs w:val="18"/>
                <w:lang w:val="ru-RU" w:eastAsia="en-GB"/>
              </w:rPr>
            </w:pPr>
            <w:r>
              <w:rPr>
                <w:color w:val="000000"/>
                <w:sz w:val="18"/>
                <w:szCs w:val="18"/>
                <w:lang w:val="ru-RU" w:eastAsia="en-GB"/>
              </w:rPr>
              <w:t>(142,153)</w:t>
            </w:r>
          </w:p>
        </w:tc>
        <w:tc>
          <w:tcPr>
            <w:tcW w:w="437" w:type="pct"/>
            <w:tcBorders>
              <w:top w:val="nil"/>
              <w:left w:val="nil"/>
              <w:bottom w:val="nil"/>
              <w:right w:val="nil"/>
            </w:tcBorders>
            <w:shd w:val="clear" w:color="auto" w:fill="auto"/>
            <w:noWrap/>
            <w:vAlign w:val="bottom"/>
          </w:tcPr>
          <w:p w14:paraId="5C4FEF35" w14:textId="33907A78" w:rsidR="003D3688" w:rsidRPr="00A82E69" w:rsidRDefault="00A82E69" w:rsidP="000B68BF">
            <w:pPr>
              <w:jc w:val="right"/>
              <w:rPr>
                <w:color w:val="000000"/>
                <w:sz w:val="18"/>
                <w:szCs w:val="18"/>
                <w:lang w:val="ru-RU" w:eastAsia="en-GB"/>
              </w:rPr>
            </w:pPr>
            <w:r>
              <w:rPr>
                <w:color w:val="000000"/>
                <w:sz w:val="18"/>
                <w:szCs w:val="18"/>
                <w:lang w:val="ru-RU" w:eastAsia="en-GB"/>
              </w:rPr>
              <w:t>(25,781)</w:t>
            </w:r>
          </w:p>
        </w:tc>
        <w:tc>
          <w:tcPr>
            <w:tcW w:w="459" w:type="pct"/>
            <w:tcBorders>
              <w:top w:val="nil"/>
              <w:left w:val="nil"/>
              <w:bottom w:val="nil"/>
              <w:right w:val="nil"/>
            </w:tcBorders>
            <w:shd w:val="clear" w:color="auto" w:fill="auto"/>
            <w:noWrap/>
            <w:vAlign w:val="bottom"/>
          </w:tcPr>
          <w:p w14:paraId="0198A4FE" w14:textId="0463CE50" w:rsidR="003D3688" w:rsidRPr="00A82E69" w:rsidRDefault="00A82E69" w:rsidP="000B68BF">
            <w:pPr>
              <w:jc w:val="right"/>
              <w:rPr>
                <w:color w:val="000000"/>
                <w:sz w:val="18"/>
                <w:szCs w:val="18"/>
                <w:lang w:val="ru-RU" w:eastAsia="en-GB"/>
              </w:rPr>
            </w:pPr>
            <w:r>
              <w:rPr>
                <w:color w:val="000000"/>
                <w:sz w:val="18"/>
                <w:szCs w:val="18"/>
                <w:lang w:val="ru-RU" w:eastAsia="en-GB"/>
              </w:rPr>
              <w:t>(520,850)</w:t>
            </w:r>
          </w:p>
        </w:tc>
        <w:tc>
          <w:tcPr>
            <w:tcW w:w="371" w:type="pct"/>
            <w:tcBorders>
              <w:top w:val="nil"/>
              <w:left w:val="nil"/>
              <w:bottom w:val="nil"/>
              <w:right w:val="nil"/>
            </w:tcBorders>
            <w:shd w:val="clear" w:color="auto" w:fill="auto"/>
            <w:noWrap/>
            <w:vAlign w:val="bottom"/>
          </w:tcPr>
          <w:p w14:paraId="57FE447E" w14:textId="3BDAF554" w:rsidR="003D3688" w:rsidRPr="00A82E69" w:rsidRDefault="00A82E69" w:rsidP="000B68BF">
            <w:pPr>
              <w:jc w:val="right"/>
              <w:rPr>
                <w:color w:val="000000"/>
                <w:sz w:val="18"/>
                <w:szCs w:val="18"/>
                <w:lang w:val="ru-RU" w:eastAsia="en-GB"/>
              </w:rPr>
            </w:pPr>
            <w:r>
              <w:rPr>
                <w:color w:val="000000"/>
                <w:sz w:val="18"/>
                <w:szCs w:val="18"/>
                <w:lang w:val="ru-RU" w:eastAsia="en-GB"/>
              </w:rPr>
              <w:t>(56,383)</w:t>
            </w:r>
          </w:p>
        </w:tc>
        <w:tc>
          <w:tcPr>
            <w:tcW w:w="350" w:type="pct"/>
            <w:tcBorders>
              <w:top w:val="nil"/>
              <w:left w:val="nil"/>
              <w:bottom w:val="nil"/>
              <w:right w:val="nil"/>
            </w:tcBorders>
            <w:shd w:val="clear" w:color="auto" w:fill="auto"/>
            <w:noWrap/>
            <w:vAlign w:val="bottom"/>
          </w:tcPr>
          <w:p w14:paraId="509673A9" w14:textId="61C61A22" w:rsidR="003D3688" w:rsidRPr="00A82E69" w:rsidRDefault="00A82E69" w:rsidP="000B68BF">
            <w:pPr>
              <w:jc w:val="right"/>
              <w:rPr>
                <w:b/>
                <w:bCs/>
                <w:color w:val="000000"/>
                <w:sz w:val="18"/>
                <w:szCs w:val="18"/>
                <w:lang w:val="ru-RU" w:eastAsia="en-GB"/>
              </w:rPr>
            </w:pPr>
            <w:r>
              <w:rPr>
                <w:b/>
                <w:bCs/>
                <w:color w:val="000000"/>
                <w:sz w:val="18"/>
                <w:szCs w:val="18"/>
                <w:lang w:val="ru-RU" w:eastAsia="en-GB"/>
              </w:rPr>
              <w:t>(1,812,650)</w:t>
            </w:r>
          </w:p>
        </w:tc>
      </w:tr>
      <w:tr w:rsidR="003D3688" w:rsidRPr="00EC690A" w14:paraId="70398513" w14:textId="77777777" w:rsidTr="00995233">
        <w:trPr>
          <w:trHeight w:val="300"/>
        </w:trPr>
        <w:tc>
          <w:tcPr>
            <w:tcW w:w="2199" w:type="pct"/>
            <w:tcBorders>
              <w:top w:val="single" w:sz="4" w:space="0" w:color="auto"/>
              <w:left w:val="nil"/>
              <w:bottom w:val="single" w:sz="4" w:space="0" w:color="auto"/>
              <w:right w:val="nil"/>
            </w:tcBorders>
            <w:shd w:val="clear" w:color="auto" w:fill="auto"/>
            <w:noWrap/>
            <w:vAlign w:val="bottom"/>
            <w:hideMark/>
          </w:tcPr>
          <w:p w14:paraId="480E3A74" w14:textId="7A85B776" w:rsidR="003D3688" w:rsidRPr="00EC690A" w:rsidRDefault="003D3688" w:rsidP="000B68BF">
            <w:pPr>
              <w:rPr>
                <w:b/>
                <w:bCs/>
                <w:color w:val="000000"/>
                <w:sz w:val="18"/>
                <w:szCs w:val="18"/>
                <w:lang w:eastAsia="en-GB"/>
              </w:rPr>
            </w:pPr>
            <w:r>
              <w:rPr>
                <w:b/>
                <w:bCs/>
                <w:color w:val="000000"/>
                <w:sz w:val="18"/>
                <w:szCs w:val="18"/>
                <w:lang w:eastAsia="en-GB"/>
              </w:rPr>
              <w:t>Net written premiums</w:t>
            </w:r>
          </w:p>
        </w:tc>
        <w:tc>
          <w:tcPr>
            <w:tcW w:w="375" w:type="pct"/>
            <w:tcBorders>
              <w:top w:val="single" w:sz="4" w:space="0" w:color="auto"/>
              <w:left w:val="nil"/>
              <w:bottom w:val="single" w:sz="4" w:space="0" w:color="auto"/>
              <w:right w:val="nil"/>
            </w:tcBorders>
            <w:shd w:val="clear" w:color="auto" w:fill="auto"/>
            <w:noWrap/>
            <w:vAlign w:val="bottom"/>
          </w:tcPr>
          <w:p w14:paraId="64E545E3" w14:textId="0C6A8A3F" w:rsidR="003D3688" w:rsidRPr="00EC690A" w:rsidRDefault="004A3FBA" w:rsidP="000B68BF">
            <w:pPr>
              <w:jc w:val="right"/>
              <w:rPr>
                <w:b/>
                <w:bCs/>
                <w:color w:val="000000"/>
                <w:sz w:val="18"/>
                <w:szCs w:val="18"/>
                <w:lang w:eastAsia="en-GB"/>
              </w:rPr>
            </w:pPr>
            <w:r>
              <w:rPr>
                <w:b/>
                <w:bCs/>
                <w:color w:val="000000"/>
                <w:sz w:val="18"/>
                <w:szCs w:val="18"/>
                <w:lang w:eastAsia="en-GB"/>
              </w:rPr>
              <w:t>226,293</w:t>
            </w:r>
          </w:p>
        </w:tc>
        <w:tc>
          <w:tcPr>
            <w:tcW w:w="404" w:type="pct"/>
            <w:tcBorders>
              <w:top w:val="single" w:sz="4" w:space="0" w:color="auto"/>
              <w:left w:val="nil"/>
              <w:bottom w:val="single" w:sz="4" w:space="0" w:color="auto"/>
              <w:right w:val="nil"/>
            </w:tcBorders>
            <w:vAlign w:val="bottom"/>
          </w:tcPr>
          <w:p w14:paraId="46AD4AAC" w14:textId="0ECE02B7" w:rsidR="003D3688" w:rsidRPr="00A82E69" w:rsidRDefault="00A82E69" w:rsidP="003D3688">
            <w:pPr>
              <w:jc w:val="right"/>
              <w:rPr>
                <w:b/>
                <w:bCs/>
                <w:color w:val="000000"/>
                <w:sz w:val="18"/>
                <w:szCs w:val="18"/>
                <w:lang w:val="ru-RU"/>
              </w:rPr>
            </w:pPr>
            <w:r>
              <w:rPr>
                <w:b/>
                <w:bCs/>
                <w:color w:val="000000"/>
                <w:sz w:val="18"/>
                <w:szCs w:val="18"/>
                <w:lang w:val="ru-RU"/>
              </w:rPr>
              <w:t>348,781</w:t>
            </w:r>
          </w:p>
        </w:tc>
        <w:tc>
          <w:tcPr>
            <w:tcW w:w="404" w:type="pct"/>
            <w:tcBorders>
              <w:top w:val="single" w:sz="4" w:space="0" w:color="auto"/>
              <w:left w:val="nil"/>
              <w:bottom w:val="single" w:sz="4" w:space="0" w:color="auto"/>
              <w:right w:val="nil"/>
            </w:tcBorders>
            <w:shd w:val="clear" w:color="auto" w:fill="auto"/>
            <w:noWrap/>
            <w:vAlign w:val="bottom"/>
          </w:tcPr>
          <w:p w14:paraId="4AB6F5D3" w14:textId="443DA8D2" w:rsidR="003D3688" w:rsidRPr="00A82E69" w:rsidRDefault="00A82E69" w:rsidP="000B68BF">
            <w:pPr>
              <w:jc w:val="right"/>
              <w:rPr>
                <w:b/>
                <w:bCs/>
                <w:color w:val="000000"/>
                <w:sz w:val="18"/>
                <w:szCs w:val="18"/>
                <w:lang w:val="ru-RU" w:eastAsia="en-GB"/>
              </w:rPr>
            </w:pPr>
            <w:r>
              <w:rPr>
                <w:b/>
                <w:bCs/>
                <w:color w:val="000000"/>
                <w:sz w:val="18"/>
                <w:szCs w:val="18"/>
                <w:lang w:val="ru-RU" w:eastAsia="en-GB"/>
              </w:rPr>
              <w:t>58,471</w:t>
            </w:r>
          </w:p>
        </w:tc>
        <w:tc>
          <w:tcPr>
            <w:tcW w:w="437" w:type="pct"/>
            <w:tcBorders>
              <w:top w:val="single" w:sz="4" w:space="0" w:color="auto"/>
              <w:left w:val="nil"/>
              <w:bottom w:val="single" w:sz="4" w:space="0" w:color="auto"/>
              <w:right w:val="nil"/>
            </w:tcBorders>
            <w:shd w:val="clear" w:color="auto" w:fill="auto"/>
            <w:noWrap/>
            <w:vAlign w:val="bottom"/>
          </w:tcPr>
          <w:p w14:paraId="680169C1" w14:textId="66EBFF1F" w:rsidR="003D3688" w:rsidRPr="00A82E69" w:rsidRDefault="00A82E69" w:rsidP="000B68BF">
            <w:pPr>
              <w:jc w:val="right"/>
              <w:rPr>
                <w:b/>
                <w:bCs/>
                <w:color w:val="000000"/>
                <w:sz w:val="18"/>
                <w:szCs w:val="18"/>
                <w:lang w:val="ru-RU" w:eastAsia="en-GB"/>
              </w:rPr>
            </w:pPr>
            <w:r>
              <w:rPr>
                <w:b/>
                <w:bCs/>
                <w:color w:val="000000"/>
                <w:sz w:val="18"/>
                <w:szCs w:val="18"/>
                <w:lang w:val="ru-RU" w:eastAsia="en-GB"/>
              </w:rPr>
              <w:t>35,051</w:t>
            </w:r>
          </w:p>
        </w:tc>
        <w:tc>
          <w:tcPr>
            <w:tcW w:w="459" w:type="pct"/>
            <w:tcBorders>
              <w:top w:val="single" w:sz="4" w:space="0" w:color="auto"/>
              <w:left w:val="nil"/>
              <w:bottom w:val="single" w:sz="4" w:space="0" w:color="auto"/>
              <w:right w:val="nil"/>
            </w:tcBorders>
            <w:shd w:val="clear" w:color="auto" w:fill="auto"/>
            <w:noWrap/>
            <w:vAlign w:val="bottom"/>
          </w:tcPr>
          <w:p w14:paraId="1943039B" w14:textId="5514D8C8" w:rsidR="003D3688" w:rsidRPr="00A82E69" w:rsidRDefault="00A82E69" w:rsidP="000B68BF">
            <w:pPr>
              <w:jc w:val="right"/>
              <w:rPr>
                <w:b/>
                <w:bCs/>
                <w:color w:val="000000"/>
                <w:sz w:val="18"/>
                <w:szCs w:val="18"/>
                <w:lang w:val="ru-RU" w:eastAsia="en-GB"/>
              </w:rPr>
            </w:pPr>
            <w:r>
              <w:rPr>
                <w:b/>
                <w:bCs/>
                <w:color w:val="000000"/>
                <w:sz w:val="18"/>
                <w:szCs w:val="18"/>
                <w:lang w:val="ru-RU" w:eastAsia="en-GB"/>
              </w:rPr>
              <w:t>12,295,582</w:t>
            </w:r>
          </w:p>
        </w:tc>
        <w:tc>
          <w:tcPr>
            <w:tcW w:w="371" w:type="pct"/>
            <w:tcBorders>
              <w:top w:val="single" w:sz="4" w:space="0" w:color="auto"/>
              <w:left w:val="nil"/>
              <w:bottom w:val="single" w:sz="4" w:space="0" w:color="auto"/>
              <w:right w:val="nil"/>
            </w:tcBorders>
            <w:shd w:val="clear" w:color="auto" w:fill="auto"/>
            <w:noWrap/>
            <w:vAlign w:val="bottom"/>
          </w:tcPr>
          <w:p w14:paraId="3AEE19C4" w14:textId="6E7E71D7" w:rsidR="003D3688" w:rsidRPr="00A82E69" w:rsidRDefault="00A82E69" w:rsidP="000B68BF">
            <w:pPr>
              <w:jc w:val="right"/>
              <w:rPr>
                <w:b/>
                <w:bCs/>
                <w:color w:val="000000"/>
                <w:sz w:val="18"/>
                <w:szCs w:val="18"/>
                <w:lang w:val="ru-RU" w:eastAsia="en-GB"/>
              </w:rPr>
            </w:pPr>
            <w:r>
              <w:rPr>
                <w:b/>
                <w:bCs/>
                <w:color w:val="000000"/>
                <w:sz w:val="18"/>
                <w:szCs w:val="18"/>
                <w:lang w:val="ru-RU" w:eastAsia="en-GB"/>
              </w:rPr>
              <w:t>35,147</w:t>
            </w:r>
          </w:p>
        </w:tc>
        <w:tc>
          <w:tcPr>
            <w:tcW w:w="350" w:type="pct"/>
            <w:tcBorders>
              <w:top w:val="single" w:sz="4" w:space="0" w:color="auto"/>
              <w:left w:val="nil"/>
              <w:bottom w:val="single" w:sz="4" w:space="0" w:color="auto"/>
              <w:right w:val="nil"/>
            </w:tcBorders>
            <w:shd w:val="clear" w:color="auto" w:fill="auto"/>
            <w:noWrap/>
            <w:vAlign w:val="bottom"/>
          </w:tcPr>
          <w:p w14:paraId="5B5F407B" w14:textId="4B9C36FE" w:rsidR="00A82E69" w:rsidRPr="00A82E69" w:rsidRDefault="00A82E69" w:rsidP="00A82E69">
            <w:pPr>
              <w:jc w:val="right"/>
              <w:rPr>
                <w:b/>
                <w:bCs/>
                <w:color w:val="000000"/>
                <w:sz w:val="18"/>
                <w:szCs w:val="18"/>
                <w:lang w:val="ru-RU" w:eastAsia="en-GB"/>
              </w:rPr>
            </w:pPr>
            <w:r>
              <w:rPr>
                <w:b/>
                <w:bCs/>
                <w:color w:val="000000"/>
                <w:sz w:val="18"/>
                <w:szCs w:val="18"/>
                <w:lang w:val="ru-RU" w:eastAsia="en-GB"/>
              </w:rPr>
              <w:t>12,999,325</w:t>
            </w:r>
          </w:p>
        </w:tc>
      </w:tr>
      <w:tr w:rsidR="003D3688" w:rsidRPr="00EC690A" w14:paraId="5D4F6625" w14:textId="77777777" w:rsidTr="00995233">
        <w:trPr>
          <w:trHeight w:val="497"/>
        </w:trPr>
        <w:tc>
          <w:tcPr>
            <w:tcW w:w="2199" w:type="pct"/>
            <w:tcBorders>
              <w:top w:val="single" w:sz="4" w:space="0" w:color="auto"/>
              <w:left w:val="nil"/>
              <w:bottom w:val="single" w:sz="4" w:space="0" w:color="auto"/>
              <w:right w:val="nil"/>
            </w:tcBorders>
            <w:shd w:val="clear" w:color="auto" w:fill="auto"/>
            <w:noWrap/>
            <w:vAlign w:val="bottom"/>
            <w:hideMark/>
          </w:tcPr>
          <w:p w14:paraId="69B3144C" w14:textId="07632B9D" w:rsidR="003D3688" w:rsidRPr="00EC690A" w:rsidRDefault="003D3688" w:rsidP="000B68BF">
            <w:pPr>
              <w:rPr>
                <w:color w:val="000000"/>
                <w:sz w:val="18"/>
                <w:szCs w:val="18"/>
                <w:lang w:eastAsia="en-GB"/>
              </w:rPr>
            </w:pPr>
            <w:r>
              <w:rPr>
                <w:color w:val="000000"/>
                <w:sz w:val="18"/>
                <w:szCs w:val="18"/>
                <w:lang w:eastAsia="en-GB"/>
              </w:rPr>
              <w:t>Change in provision for unearned premiums, net of reinsurance (Note 1</w:t>
            </w:r>
            <w:r w:rsidR="00A82E69" w:rsidRPr="00A82E69">
              <w:rPr>
                <w:color w:val="000000"/>
                <w:sz w:val="18"/>
                <w:szCs w:val="18"/>
                <w:lang w:eastAsia="en-GB"/>
              </w:rPr>
              <w:t>7</w:t>
            </w:r>
            <w:r>
              <w:rPr>
                <w:color w:val="000000"/>
                <w:sz w:val="18"/>
                <w:szCs w:val="18"/>
                <w:lang w:eastAsia="en-GB"/>
              </w:rPr>
              <w:t>)</w:t>
            </w:r>
          </w:p>
        </w:tc>
        <w:tc>
          <w:tcPr>
            <w:tcW w:w="375" w:type="pct"/>
            <w:tcBorders>
              <w:top w:val="single" w:sz="4" w:space="0" w:color="auto"/>
              <w:left w:val="nil"/>
              <w:bottom w:val="single" w:sz="4" w:space="0" w:color="auto"/>
              <w:right w:val="nil"/>
            </w:tcBorders>
            <w:shd w:val="clear" w:color="auto" w:fill="auto"/>
            <w:noWrap/>
            <w:vAlign w:val="bottom"/>
            <w:hideMark/>
          </w:tcPr>
          <w:p w14:paraId="161EA51E" w14:textId="4D6FE03A" w:rsidR="003D3688" w:rsidRPr="00A82E69" w:rsidRDefault="00A82E69" w:rsidP="00A82E69">
            <w:pPr>
              <w:jc w:val="right"/>
              <w:rPr>
                <w:color w:val="000000"/>
                <w:sz w:val="18"/>
                <w:szCs w:val="18"/>
                <w:lang w:val="ru-RU" w:eastAsia="en-GB"/>
              </w:rPr>
            </w:pPr>
            <w:r>
              <w:rPr>
                <w:color w:val="000000"/>
                <w:sz w:val="18"/>
                <w:szCs w:val="18"/>
                <w:lang w:val="ru-RU" w:eastAsia="en-GB"/>
              </w:rPr>
              <w:t>(207,618)</w:t>
            </w:r>
          </w:p>
        </w:tc>
        <w:tc>
          <w:tcPr>
            <w:tcW w:w="404" w:type="pct"/>
            <w:tcBorders>
              <w:top w:val="single" w:sz="4" w:space="0" w:color="auto"/>
              <w:left w:val="nil"/>
              <w:bottom w:val="single" w:sz="4" w:space="0" w:color="auto"/>
              <w:right w:val="nil"/>
            </w:tcBorders>
            <w:vAlign w:val="bottom"/>
          </w:tcPr>
          <w:p w14:paraId="54EEFA37" w14:textId="481C5203" w:rsidR="003D3688" w:rsidRPr="00A82E69" w:rsidRDefault="00A82E69" w:rsidP="00A82E69">
            <w:pPr>
              <w:jc w:val="right"/>
              <w:rPr>
                <w:color w:val="000000"/>
                <w:sz w:val="18"/>
                <w:szCs w:val="18"/>
                <w:lang w:val="ru-RU" w:eastAsia="en-GB"/>
              </w:rPr>
            </w:pPr>
            <w:r>
              <w:rPr>
                <w:color w:val="000000"/>
                <w:sz w:val="18"/>
                <w:szCs w:val="18"/>
                <w:lang w:val="ru-RU" w:eastAsia="en-GB"/>
              </w:rPr>
              <w:t>(165,603)</w:t>
            </w:r>
          </w:p>
        </w:tc>
        <w:tc>
          <w:tcPr>
            <w:tcW w:w="404" w:type="pct"/>
            <w:tcBorders>
              <w:top w:val="single" w:sz="4" w:space="0" w:color="auto"/>
              <w:left w:val="nil"/>
              <w:bottom w:val="single" w:sz="4" w:space="0" w:color="auto"/>
              <w:right w:val="nil"/>
            </w:tcBorders>
            <w:shd w:val="clear" w:color="auto" w:fill="auto"/>
            <w:noWrap/>
            <w:vAlign w:val="bottom"/>
            <w:hideMark/>
          </w:tcPr>
          <w:p w14:paraId="30B12CE4" w14:textId="35DC311A" w:rsidR="003D3688" w:rsidRPr="00A82E69" w:rsidRDefault="00A82E69" w:rsidP="00A82E69">
            <w:pPr>
              <w:jc w:val="right"/>
              <w:rPr>
                <w:color w:val="000000"/>
                <w:sz w:val="18"/>
                <w:szCs w:val="18"/>
                <w:lang w:val="ru-RU" w:eastAsia="en-GB"/>
              </w:rPr>
            </w:pPr>
            <w:r>
              <w:rPr>
                <w:color w:val="000000"/>
                <w:sz w:val="18"/>
                <w:szCs w:val="18"/>
                <w:lang w:val="ru-RU" w:eastAsia="en-GB"/>
              </w:rPr>
              <w:t>(19,634)</w:t>
            </w:r>
          </w:p>
        </w:tc>
        <w:tc>
          <w:tcPr>
            <w:tcW w:w="437" w:type="pct"/>
            <w:tcBorders>
              <w:top w:val="single" w:sz="4" w:space="0" w:color="auto"/>
              <w:left w:val="nil"/>
              <w:bottom w:val="single" w:sz="4" w:space="0" w:color="auto"/>
              <w:right w:val="nil"/>
            </w:tcBorders>
            <w:shd w:val="clear" w:color="auto" w:fill="auto"/>
            <w:noWrap/>
            <w:vAlign w:val="bottom"/>
            <w:hideMark/>
          </w:tcPr>
          <w:p w14:paraId="1813FB20" w14:textId="7388E64D" w:rsidR="003D3688" w:rsidRPr="00A82E69" w:rsidRDefault="00A82E69" w:rsidP="00A82E69">
            <w:pPr>
              <w:jc w:val="right"/>
              <w:rPr>
                <w:color w:val="000000"/>
                <w:sz w:val="18"/>
                <w:szCs w:val="18"/>
                <w:lang w:val="ru-RU" w:eastAsia="en-GB"/>
              </w:rPr>
            </w:pPr>
            <w:r>
              <w:rPr>
                <w:color w:val="000000"/>
                <w:sz w:val="18"/>
                <w:szCs w:val="18"/>
                <w:lang w:val="ru-RU" w:eastAsia="en-GB"/>
              </w:rPr>
              <w:t>(4,071)</w:t>
            </w:r>
          </w:p>
        </w:tc>
        <w:tc>
          <w:tcPr>
            <w:tcW w:w="459" w:type="pct"/>
            <w:tcBorders>
              <w:top w:val="single" w:sz="4" w:space="0" w:color="auto"/>
              <w:left w:val="nil"/>
              <w:bottom w:val="single" w:sz="4" w:space="0" w:color="auto"/>
              <w:right w:val="nil"/>
            </w:tcBorders>
            <w:shd w:val="clear" w:color="auto" w:fill="auto"/>
            <w:noWrap/>
            <w:vAlign w:val="bottom"/>
            <w:hideMark/>
          </w:tcPr>
          <w:p w14:paraId="5195BB5D" w14:textId="2A2D8ACC" w:rsidR="003D3688" w:rsidRPr="00A82E69" w:rsidRDefault="00A82E69" w:rsidP="00A82E69">
            <w:pPr>
              <w:jc w:val="right"/>
              <w:rPr>
                <w:color w:val="000000"/>
                <w:sz w:val="18"/>
                <w:szCs w:val="18"/>
                <w:lang w:val="ru-RU" w:eastAsia="en-GB"/>
              </w:rPr>
            </w:pPr>
            <w:r>
              <w:rPr>
                <w:color w:val="000000"/>
                <w:sz w:val="18"/>
                <w:szCs w:val="18"/>
                <w:lang w:val="ru-RU" w:eastAsia="en-GB"/>
              </w:rPr>
              <w:t>(432,065)</w:t>
            </w:r>
          </w:p>
        </w:tc>
        <w:tc>
          <w:tcPr>
            <w:tcW w:w="371" w:type="pct"/>
            <w:tcBorders>
              <w:top w:val="single" w:sz="4" w:space="0" w:color="auto"/>
              <w:left w:val="nil"/>
              <w:bottom w:val="single" w:sz="4" w:space="0" w:color="auto"/>
              <w:right w:val="nil"/>
            </w:tcBorders>
            <w:shd w:val="clear" w:color="auto" w:fill="auto"/>
            <w:noWrap/>
            <w:vAlign w:val="bottom"/>
            <w:hideMark/>
          </w:tcPr>
          <w:p w14:paraId="7841B639" w14:textId="6B58AA42" w:rsidR="003D3688" w:rsidRPr="00A82E69" w:rsidRDefault="00A82E69" w:rsidP="00A82E69">
            <w:pPr>
              <w:jc w:val="right"/>
              <w:rPr>
                <w:color w:val="000000"/>
                <w:sz w:val="18"/>
                <w:szCs w:val="18"/>
                <w:lang w:val="ru-RU" w:eastAsia="en-GB"/>
              </w:rPr>
            </w:pPr>
            <w:r>
              <w:rPr>
                <w:color w:val="000000"/>
                <w:sz w:val="18"/>
                <w:szCs w:val="18"/>
                <w:lang w:val="ru-RU" w:eastAsia="en-GB"/>
              </w:rPr>
              <w:t>(6,686)</w:t>
            </w:r>
          </w:p>
        </w:tc>
        <w:tc>
          <w:tcPr>
            <w:tcW w:w="350" w:type="pct"/>
            <w:tcBorders>
              <w:top w:val="single" w:sz="4" w:space="0" w:color="auto"/>
              <w:left w:val="nil"/>
              <w:bottom w:val="single" w:sz="4" w:space="0" w:color="auto"/>
              <w:right w:val="nil"/>
            </w:tcBorders>
            <w:shd w:val="clear" w:color="auto" w:fill="auto"/>
            <w:noWrap/>
            <w:vAlign w:val="bottom"/>
            <w:hideMark/>
          </w:tcPr>
          <w:p w14:paraId="0BF8A7F0" w14:textId="2DDF4229" w:rsidR="003D3688" w:rsidRPr="00A82E69" w:rsidRDefault="00A82E69" w:rsidP="00A82E69">
            <w:pPr>
              <w:jc w:val="right"/>
              <w:rPr>
                <w:b/>
                <w:bCs/>
                <w:color w:val="000000"/>
                <w:sz w:val="18"/>
                <w:szCs w:val="18"/>
                <w:lang w:val="ru-RU" w:eastAsia="en-GB"/>
              </w:rPr>
            </w:pPr>
            <w:r>
              <w:rPr>
                <w:b/>
                <w:bCs/>
                <w:color w:val="000000"/>
                <w:sz w:val="18"/>
                <w:szCs w:val="18"/>
                <w:lang w:val="ru-RU" w:eastAsia="en-GB"/>
              </w:rPr>
              <w:t>(835,677)</w:t>
            </w:r>
          </w:p>
        </w:tc>
      </w:tr>
      <w:tr w:rsidR="003D3688" w:rsidRPr="00EC690A" w14:paraId="5B268FDC" w14:textId="77777777" w:rsidTr="00995233">
        <w:trPr>
          <w:trHeight w:val="420"/>
        </w:trPr>
        <w:tc>
          <w:tcPr>
            <w:tcW w:w="2199" w:type="pct"/>
            <w:tcBorders>
              <w:top w:val="single" w:sz="4" w:space="0" w:color="auto"/>
              <w:left w:val="nil"/>
              <w:bottom w:val="double" w:sz="4" w:space="0" w:color="auto"/>
              <w:right w:val="nil"/>
            </w:tcBorders>
            <w:shd w:val="clear" w:color="auto" w:fill="auto"/>
            <w:noWrap/>
            <w:vAlign w:val="bottom"/>
            <w:hideMark/>
          </w:tcPr>
          <w:p w14:paraId="4A0E8FFA" w14:textId="0F78E137" w:rsidR="003D3688" w:rsidRPr="00EC690A" w:rsidRDefault="00995233" w:rsidP="000B68BF">
            <w:pPr>
              <w:rPr>
                <w:b/>
                <w:bCs/>
                <w:color w:val="000000"/>
                <w:sz w:val="18"/>
                <w:szCs w:val="18"/>
                <w:lang w:eastAsia="en-GB"/>
              </w:rPr>
            </w:pPr>
            <w:r>
              <w:rPr>
                <w:b/>
                <w:bCs/>
                <w:color w:val="000000"/>
                <w:sz w:val="18"/>
                <w:szCs w:val="18"/>
                <w:lang w:eastAsia="en-GB"/>
              </w:rPr>
              <w:t>P</w:t>
            </w:r>
            <w:r w:rsidR="003D3688">
              <w:rPr>
                <w:b/>
                <w:bCs/>
                <w:color w:val="000000"/>
                <w:sz w:val="18"/>
                <w:szCs w:val="18"/>
                <w:lang w:eastAsia="en-GB"/>
              </w:rPr>
              <w:t>remiums earned, net of reinsurance</w:t>
            </w:r>
          </w:p>
        </w:tc>
        <w:tc>
          <w:tcPr>
            <w:tcW w:w="375" w:type="pct"/>
            <w:tcBorders>
              <w:top w:val="single" w:sz="4" w:space="0" w:color="auto"/>
              <w:left w:val="nil"/>
              <w:bottom w:val="double" w:sz="4" w:space="0" w:color="auto"/>
              <w:right w:val="nil"/>
            </w:tcBorders>
            <w:shd w:val="clear" w:color="auto" w:fill="auto"/>
            <w:noWrap/>
            <w:vAlign w:val="bottom"/>
            <w:hideMark/>
          </w:tcPr>
          <w:p w14:paraId="2BB6514C" w14:textId="18DED11A" w:rsidR="003D3688" w:rsidRPr="00A82E69" w:rsidRDefault="00A82E69" w:rsidP="00A82E69">
            <w:pPr>
              <w:jc w:val="right"/>
              <w:rPr>
                <w:b/>
                <w:bCs/>
                <w:color w:val="000000"/>
                <w:sz w:val="18"/>
                <w:szCs w:val="18"/>
                <w:lang w:val="ru-RU" w:eastAsia="en-GB"/>
              </w:rPr>
            </w:pPr>
            <w:r w:rsidRPr="00A82E69">
              <w:rPr>
                <w:b/>
                <w:bCs/>
                <w:color w:val="000000"/>
                <w:sz w:val="18"/>
                <w:szCs w:val="18"/>
                <w:lang w:val="ru-RU" w:eastAsia="en-GB"/>
              </w:rPr>
              <w:t>18,675</w:t>
            </w:r>
          </w:p>
        </w:tc>
        <w:tc>
          <w:tcPr>
            <w:tcW w:w="404" w:type="pct"/>
            <w:tcBorders>
              <w:top w:val="single" w:sz="4" w:space="0" w:color="auto"/>
              <w:left w:val="nil"/>
              <w:bottom w:val="double" w:sz="4" w:space="0" w:color="auto"/>
              <w:right w:val="nil"/>
            </w:tcBorders>
            <w:vAlign w:val="bottom"/>
          </w:tcPr>
          <w:p w14:paraId="38CA0B09" w14:textId="436DDB0F" w:rsidR="003D3688" w:rsidRPr="00A82E69" w:rsidRDefault="00A82E69" w:rsidP="00A82E69">
            <w:pPr>
              <w:jc w:val="right"/>
              <w:rPr>
                <w:b/>
                <w:bCs/>
                <w:color w:val="000000"/>
                <w:sz w:val="18"/>
                <w:szCs w:val="18"/>
                <w:lang w:val="ru-RU" w:eastAsia="en-GB"/>
              </w:rPr>
            </w:pPr>
            <w:r w:rsidRPr="00A82E69">
              <w:rPr>
                <w:b/>
                <w:bCs/>
                <w:color w:val="000000"/>
                <w:sz w:val="18"/>
                <w:szCs w:val="18"/>
                <w:lang w:val="ru-RU" w:eastAsia="en-GB"/>
              </w:rPr>
              <w:t>183,178</w:t>
            </w:r>
          </w:p>
        </w:tc>
        <w:tc>
          <w:tcPr>
            <w:tcW w:w="404" w:type="pct"/>
            <w:tcBorders>
              <w:top w:val="single" w:sz="4" w:space="0" w:color="auto"/>
              <w:left w:val="nil"/>
              <w:bottom w:val="double" w:sz="4" w:space="0" w:color="auto"/>
              <w:right w:val="nil"/>
            </w:tcBorders>
            <w:shd w:val="clear" w:color="auto" w:fill="auto"/>
            <w:noWrap/>
            <w:vAlign w:val="bottom"/>
            <w:hideMark/>
          </w:tcPr>
          <w:p w14:paraId="0C59A488" w14:textId="0266A2E1" w:rsidR="003D3688" w:rsidRPr="00A82E69" w:rsidRDefault="00A82E69" w:rsidP="00A82E69">
            <w:pPr>
              <w:jc w:val="right"/>
              <w:rPr>
                <w:b/>
                <w:bCs/>
                <w:color w:val="000000"/>
                <w:sz w:val="18"/>
                <w:szCs w:val="18"/>
                <w:lang w:val="ru-RU" w:eastAsia="en-GB"/>
              </w:rPr>
            </w:pPr>
            <w:r w:rsidRPr="00A82E69">
              <w:rPr>
                <w:b/>
                <w:bCs/>
                <w:color w:val="000000"/>
                <w:sz w:val="18"/>
                <w:szCs w:val="18"/>
                <w:lang w:val="ru-RU" w:eastAsia="en-GB"/>
              </w:rPr>
              <w:t>38,837</w:t>
            </w:r>
          </w:p>
        </w:tc>
        <w:tc>
          <w:tcPr>
            <w:tcW w:w="437" w:type="pct"/>
            <w:tcBorders>
              <w:top w:val="single" w:sz="4" w:space="0" w:color="auto"/>
              <w:left w:val="nil"/>
              <w:bottom w:val="double" w:sz="4" w:space="0" w:color="auto"/>
              <w:right w:val="nil"/>
            </w:tcBorders>
            <w:shd w:val="clear" w:color="auto" w:fill="auto"/>
            <w:noWrap/>
            <w:vAlign w:val="bottom"/>
            <w:hideMark/>
          </w:tcPr>
          <w:p w14:paraId="6609B9AA" w14:textId="472692EF" w:rsidR="003D3688" w:rsidRPr="00A82E69" w:rsidRDefault="00A82E69" w:rsidP="00A82E69">
            <w:pPr>
              <w:jc w:val="right"/>
              <w:rPr>
                <w:b/>
                <w:bCs/>
                <w:color w:val="000000"/>
                <w:sz w:val="18"/>
                <w:szCs w:val="18"/>
                <w:lang w:val="ru-RU" w:eastAsia="en-GB"/>
              </w:rPr>
            </w:pPr>
            <w:r w:rsidRPr="00A82E69">
              <w:rPr>
                <w:b/>
                <w:bCs/>
                <w:color w:val="000000"/>
                <w:sz w:val="18"/>
                <w:szCs w:val="18"/>
                <w:lang w:val="ru-RU" w:eastAsia="en-GB"/>
              </w:rPr>
              <w:t>30,980</w:t>
            </w:r>
          </w:p>
        </w:tc>
        <w:tc>
          <w:tcPr>
            <w:tcW w:w="459" w:type="pct"/>
            <w:tcBorders>
              <w:top w:val="single" w:sz="4" w:space="0" w:color="auto"/>
              <w:left w:val="nil"/>
              <w:bottom w:val="double" w:sz="4" w:space="0" w:color="auto"/>
              <w:right w:val="nil"/>
            </w:tcBorders>
            <w:shd w:val="clear" w:color="auto" w:fill="auto"/>
            <w:noWrap/>
            <w:vAlign w:val="bottom"/>
            <w:hideMark/>
          </w:tcPr>
          <w:p w14:paraId="1E249ACF" w14:textId="56494DD4" w:rsidR="003D3688" w:rsidRPr="00A82E69" w:rsidRDefault="00A82E69" w:rsidP="00A82E69">
            <w:pPr>
              <w:jc w:val="right"/>
              <w:rPr>
                <w:b/>
                <w:bCs/>
                <w:color w:val="000000"/>
                <w:sz w:val="18"/>
                <w:szCs w:val="18"/>
                <w:lang w:val="ru-RU" w:eastAsia="en-GB"/>
              </w:rPr>
            </w:pPr>
            <w:r w:rsidRPr="00A82E69">
              <w:rPr>
                <w:b/>
                <w:bCs/>
                <w:color w:val="000000"/>
                <w:sz w:val="18"/>
                <w:szCs w:val="18"/>
                <w:lang w:val="ru-RU" w:eastAsia="en-GB"/>
              </w:rPr>
              <w:t>11,863,517</w:t>
            </w:r>
          </w:p>
        </w:tc>
        <w:tc>
          <w:tcPr>
            <w:tcW w:w="371" w:type="pct"/>
            <w:tcBorders>
              <w:top w:val="single" w:sz="4" w:space="0" w:color="auto"/>
              <w:left w:val="nil"/>
              <w:bottom w:val="double" w:sz="4" w:space="0" w:color="auto"/>
              <w:right w:val="nil"/>
            </w:tcBorders>
            <w:shd w:val="clear" w:color="auto" w:fill="auto"/>
            <w:noWrap/>
            <w:vAlign w:val="bottom"/>
            <w:hideMark/>
          </w:tcPr>
          <w:p w14:paraId="7D53A7D3" w14:textId="540E0FFC" w:rsidR="003D3688" w:rsidRPr="00A82E69" w:rsidRDefault="00A82E69" w:rsidP="00A82E69">
            <w:pPr>
              <w:jc w:val="right"/>
              <w:rPr>
                <w:b/>
                <w:bCs/>
                <w:color w:val="000000"/>
                <w:sz w:val="18"/>
                <w:szCs w:val="18"/>
                <w:lang w:val="ru-RU" w:eastAsia="en-GB"/>
              </w:rPr>
            </w:pPr>
            <w:r w:rsidRPr="00A82E69">
              <w:rPr>
                <w:b/>
                <w:bCs/>
                <w:color w:val="000000"/>
                <w:sz w:val="18"/>
                <w:szCs w:val="18"/>
                <w:lang w:val="ru-RU" w:eastAsia="en-GB"/>
              </w:rPr>
              <w:t>28,461</w:t>
            </w:r>
          </w:p>
        </w:tc>
        <w:tc>
          <w:tcPr>
            <w:tcW w:w="350" w:type="pct"/>
            <w:tcBorders>
              <w:top w:val="single" w:sz="4" w:space="0" w:color="auto"/>
              <w:left w:val="nil"/>
              <w:bottom w:val="double" w:sz="4" w:space="0" w:color="auto"/>
              <w:right w:val="nil"/>
            </w:tcBorders>
            <w:shd w:val="clear" w:color="auto" w:fill="auto"/>
            <w:noWrap/>
            <w:vAlign w:val="bottom"/>
            <w:hideMark/>
          </w:tcPr>
          <w:p w14:paraId="0D5A4570" w14:textId="5627B8C9" w:rsidR="003D3688" w:rsidRPr="00A82E69" w:rsidRDefault="00A82E69" w:rsidP="00A82E69">
            <w:pPr>
              <w:jc w:val="right"/>
              <w:rPr>
                <w:b/>
                <w:bCs/>
                <w:color w:val="000000"/>
                <w:sz w:val="18"/>
                <w:szCs w:val="18"/>
                <w:lang w:val="ru-RU" w:eastAsia="en-GB"/>
              </w:rPr>
            </w:pPr>
            <w:r w:rsidRPr="00A82E69">
              <w:rPr>
                <w:b/>
                <w:bCs/>
                <w:color w:val="000000"/>
                <w:sz w:val="18"/>
                <w:szCs w:val="18"/>
                <w:lang w:val="ru-RU" w:eastAsia="en-GB"/>
              </w:rPr>
              <w:t>12,163,648</w:t>
            </w:r>
          </w:p>
        </w:tc>
      </w:tr>
      <w:tr w:rsidR="003D3688" w:rsidRPr="00EC690A" w14:paraId="27758F78" w14:textId="77777777" w:rsidTr="00995233">
        <w:trPr>
          <w:trHeight w:val="391"/>
        </w:trPr>
        <w:tc>
          <w:tcPr>
            <w:tcW w:w="2199" w:type="pct"/>
            <w:tcBorders>
              <w:top w:val="double" w:sz="4" w:space="0" w:color="auto"/>
              <w:left w:val="nil"/>
              <w:bottom w:val="nil"/>
              <w:right w:val="nil"/>
            </w:tcBorders>
            <w:shd w:val="clear" w:color="auto" w:fill="auto"/>
            <w:noWrap/>
            <w:vAlign w:val="bottom"/>
            <w:hideMark/>
          </w:tcPr>
          <w:p w14:paraId="7169D145" w14:textId="0B623038" w:rsidR="003D3688" w:rsidRPr="00EC690A" w:rsidRDefault="003D3688" w:rsidP="000B68BF">
            <w:pPr>
              <w:rPr>
                <w:color w:val="000000"/>
                <w:sz w:val="18"/>
                <w:szCs w:val="18"/>
                <w:lang w:eastAsia="en-GB"/>
              </w:rPr>
            </w:pPr>
            <w:r>
              <w:rPr>
                <w:color w:val="000000"/>
                <w:sz w:val="18"/>
                <w:szCs w:val="18"/>
                <w:lang w:eastAsia="en-GB"/>
              </w:rPr>
              <w:t>Claims paid (Note 31)</w:t>
            </w:r>
          </w:p>
        </w:tc>
        <w:tc>
          <w:tcPr>
            <w:tcW w:w="375" w:type="pct"/>
            <w:tcBorders>
              <w:top w:val="double" w:sz="4" w:space="0" w:color="auto"/>
              <w:left w:val="nil"/>
              <w:bottom w:val="nil"/>
              <w:right w:val="nil"/>
            </w:tcBorders>
            <w:shd w:val="clear" w:color="auto" w:fill="auto"/>
            <w:noWrap/>
            <w:vAlign w:val="bottom"/>
          </w:tcPr>
          <w:p w14:paraId="038E48EB" w14:textId="4FB417D2" w:rsidR="003D3688" w:rsidRPr="00A82E69" w:rsidRDefault="00A82E69" w:rsidP="00A82E69">
            <w:pPr>
              <w:jc w:val="right"/>
              <w:rPr>
                <w:color w:val="000000"/>
                <w:sz w:val="18"/>
                <w:szCs w:val="18"/>
                <w:lang w:val="ru-RU" w:eastAsia="en-GB"/>
              </w:rPr>
            </w:pPr>
            <w:r>
              <w:rPr>
                <w:color w:val="000000"/>
                <w:sz w:val="18"/>
                <w:szCs w:val="18"/>
                <w:lang w:val="ru-RU" w:eastAsia="en-GB"/>
              </w:rPr>
              <w:t>(10,557)</w:t>
            </w:r>
          </w:p>
        </w:tc>
        <w:tc>
          <w:tcPr>
            <w:tcW w:w="404" w:type="pct"/>
            <w:tcBorders>
              <w:top w:val="double" w:sz="4" w:space="0" w:color="auto"/>
              <w:left w:val="nil"/>
              <w:bottom w:val="nil"/>
              <w:right w:val="nil"/>
            </w:tcBorders>
            <w:vAlign w:val="bottom"/>
          </w:tcPr>
          <w:p w14:paraId="008D2DD9" w14:textId="65C51ED2" w:rsidR="003D3688" w:rsidRPr="00A82E69" w:rsidRDefault="00A82E69" w:rsidP="00A82E69">
            <w:pPr>
              <w:jc w:val="right"/>
              <w:rPr>
                <w:color w:val="000000"/>
                <w:sz w:val="18"/>
                <w:szCs w:val="18"/>
                <w:lang w:val="ru-RU"/>
              </w:rPr>
            </w:pPr>
            <w:r>
              <w:rPr>
                <w:color w:val="000000"/>
                <w:sz w:val="18"/>
                <w:szCs w:val="18"/>
                <w:lang w:val="ru-RU"/>
              </w:rPr>
              <w:t>(337,834)</w:t>
            </w:r>
          </w:p>
        </w:tc>
        <w:tc>
          <w:tcPr>
            <w:tcW w:w="404" w:type="pct"/>
            <w:tcBorders>
              <w:top w:val="double" w:sz="4" w:space="0" w:color="auto"/>
              <w:left w:val="nil"/>
              <w:bottom w:val="nil"/>
              <w:right w:val="nil"/>
            </w:tcBorders>
            <w:shd w:val="clear" w:color="auto" w:fill="auto"/>
            <w:noWrap/>
            <w:vAlign w:val="bottom"/>
          </w:tcPr>
          <w:p w14:paraId="049014CD" w14:textId="5998D0BD" w:rsidR="003D3688" w:rsidRPr="00A82E69" w:rsidRDefault="00A82E69" w:rsidP="00A82E69">
            <w:pPr>
              <w:jc w:val="right"/>
              <w:rPr>
                <w:color w:val="000000"/>
                <w:sz w:val="18"/>
                <w:szCs w:val="18"/>
                <w:lang w:val="ru-RU" w:eastAsia="en-GB"/>
              </w:rPr>
            </w:pPr>
            <w:r>
              <w:rPr>
                <w:color w:val="000000"/>
                <w:sz w:val="18"/>
                <w:szCs w:val="18"/>
                <w:lang w:val="ru-RU" w:eastAsia="en-GB"/>
              </w:rPr>
              <w:t>-</w:t>
            </w:r>
          </w:p>
        </w:tc>
        <w:tc>
          <w:tcPr>
            <w:tcW w:w="437" w:type="pct"/>
            <w:tcBorders>
              <w:top w:val="double" w:sz="4" w:space="0" w:color="auto"/>
              <w:left w:val="nil"/>
              <w:bottom w:val="nil"/>
              <w:right w:val="nil"/>
            </w:tcBorders>
            <w:shd w:val="clear" w:color="auto" w:fill="auto"/>
            <w:noWrap/>
            <w:vAlign w:val="bottom"/>
          </w:tcPr>
          <w:p w14:paraId="267A9D25" w14:textId="490E3534" w:rsidR="003D3688" w:rsidRPr="00A82E69" w:rsidRDefault="00A82E69" w:rsidP="00A82E69">
            <w:pPr>
              <w:jc w:val="right"/>
              <w:rPr>
                <w:color w:val="000000"/>
                <w:sz w:val="18"/>
                <w:szCs w:val="18"/>
                <w:lang w:val="ru-RU" w:eastAsia="en-GB"/>
              </w:rPr>
            </w:pPr>
            <w:r>
              <w:rPr>
                <w:color w:val="000000"/>
                <w:sz w:val="18"/>
                <w:szCs w:val="18"/>
                <w:lang w:val="ru-RU" w:eastAsia="en-GB"/>
              </w:rPr>
              <w:t>(28,700)</w:t>
            </w:r>
          </w:p>
        </w:tc>
        <w:tc>
          <w:tcPr>
            <w:tcW w:w="459" w:type="pct"/>
            <w:tcBorders>
              <w:top w:val="double" w:sz="4" w:space="0" w:color="auto"/>
              <w:left w:val="nil"/>
              <w:bottom w:val="nil"/>
              <w:right w:val="nil"/>
            </w:tcBorders>
            <w:shd w:val="clear" w:color="auto" w:fill="auto"/>
            <w:noWrap/>
            <w:vAlign w:val="bottom"/>
          </w:tcPr>
          <w:p w14:paraId="48EB4F69" w14:textId="359C4204" w:rsidR="003D3688" w:rsidRPr="00A82E69" w:rsidRDefault="00A82E69" w:rsidP="00A82E69">
            <w:pPr>
              <w:jc w:val="right"/>
              <w:rPr>
                <w:color w:val="000000"/>
                <w:sz w:val="18"/>
                <w:szCs w:val="18"/>
                <w:lang w:val="ru-RU" w:eastAsia="en-GB"/>
              </w:rPr>
            </w:pPr>
            <w:r>
              <w:rPr>
                <w:color w:val="000000"/>
                <w:sz w:val="18"/>
                <w:szCs w:val="18"/>
                <w:lang w:val="ru-RU" w:eastAsia="en-GB"/>
              </w:rPr>
              <w:t>(8,160,304)</w:t>
            </w:r>
          </w:p>
        </w:tc>
        <w:tc>
          <w:tcPr>
            <w:tcW w:w="371" w:type="pct"/>
            <w:tcBorders>
              <w:top w:val="double" w:sz="4" w:space="0" w:color="auto"/>
              <w:left w:val="nil"/>
              <w:bottom w:val="nil"/>
              <w:right w:val="nil"/>
            </w:tcBorders>
            <w:shd w:val="clear" w:color="auto" w:fill="auto"/>
            <w:noWrap/>
            <w:vAlign w:val="bottom"/>
          </w:tcPr>
          <w:p w14:paraId="0652471D" w14:textId="5EC2930D" w:rsidR="003D3688" w:rsidRPr="00310C73" w:rsidRDefault="00310C73" w:rsidP="00A82E69">
            <w:pPr>
              <w:jc w:val="right"/>
              <w:rPr>
                <w:color w:val="000000"/>
                <w:sz w:val="18"/>
                <w:szCs w:val="18"/>
                <w:lang w:val="ru-RU" w:eastAsia="en-GB"/>
              </w:rPr>
            </w:pPr>
            <w:r>
              <w:rPr>
                <w:color w:val="000000"/>
                <w:sz w:val="18"/>
                <w:szCs w:val="18"/>
                <w:lang w:val="ru-RU" w:eastAsia="en-GB"/>
              </w:rPr>
              <w:t>(547)</w:t>
            </w:r>
          </w:p>
        </w:tc>
        <w:tc>
          <w:tcPr>
            <w:tcW w:w="350" w:type="pct"/>
            <w:tcBorders>
              <w:top w:val="double" w:sz="4" w:space="0" w:color="auto"/>
              <w:left w:val="nil"/>
              <w:bottom w:val="nil"/>
              <w:right w:val="nil"/>
            </w:tcBorders>
            <w:shd w:val="clear" w:color="auto" w:fill="auto"/>
            <w:noWrap/>
            <w:vAlign w:val="bottom"/>
          </w:tcPr>
          <w:p w14:paraId="1D7EE074" w14:textId="0C0ED1E0" w:rsidR="003D3688" w:rsidRPr="00310C73" w:rsidRDefault="00310C73" w:rsidP="00A82E69">
            <w:pPr>
              <w:jc w:val="right"/>
              <w:rPr>
                <w:b/>
                <w:bCs/>
                <w:color w:val="000000"/>
                <w:sz w:val="18"/>
                <w:szCs w:val="18"/>
                <w:lang w:val="ru-RU" w:eastAsia="en-GB"/>
              </w:rPr>
            </w:pPr>
            <w:r>
              <w:rPr>
                <w:b/>
                <w:bCs/>
                <w:color w:val="000000"/>
                <w:sz w:val="18"/>
                <w:szCs w:val="18"/>
                <w:lang w:val="ru-RU" w:eastAsia="en-GB"/>
              </w:rPr>
              <w:t>(8,537,942)</w:t>
            </w:r>
          </w:p>
        </w:tc>
      </w:tr>
      <w:tr w:rsidR="003D3688" w:rsidRPr="00EC690A" w14:paraId="40647472" w14:textId="77777777" w:rsidTr="00995233">
        <w:trPr>
          <w:trHeight w:val="300"/>
        </w:trPr>
        <w:tc>
          <w:tcPr>
            <w:tcW w:w="2199" w:type="pct"/>
            <w:tcBorders>
              <w:top w:val="nil"/>
              <w:left w:val="nil"/>
              <w:bottom w:val="nil"/>
              <w:right w:val="nil"/>
            </w:tcBorders>
            <w:shd w:val="clear" w:color="auto" w:fill="auto"/>
            <w:noWrap/>
            <w:vAlign w:val="bottom"/>
            <w:hideMark/>
          </w:tcPr>
          <w:p w14:paraId="4F19EA2B" w14:textId="6302A9AD" w:rsidR="003D3688" w:rsidRPr="00EC690A" w:rsidRDefault="003D3688" w:rsidP="000B68BF">
            <w:pPr>
              <w:rPr>
                <w:color w:val="000000"/>
                <w:sz w:val="18"/>
                <w:szCs w:val="18"/>
                <w:lang w:eastAsia="en-GB"/>
              </w:rPr>
            </w:pPr>
            <w:r>
              <w:rPr>
                <w:color w:val="000000"/>
                <w:sz w:val="18"/>
                <w:szCs w:val="18"/>
                <w:lang w:eastAsia="en-GB"/>
              </w:rPr>
              <w:t>Claims ceded to reinsurers</w:t>
            </w:r>
          </w:p>
        </w:tc>
        <w:tc>
          <w:tcPr>
            <w:tcW w:w="375" w:type="pct"/>
            <w:tcBorders>
              <w:top w:val="nil"/>
              <w:left w:val="nil"/>
              <w:bottom w:val="nil"/>
              <w:right w:val="nil"/>
            </w:tcBorders>
            <w:shd w:val="clear" w:color="auto" w:fill="auto"/>
            <w:noWrap/>
            <w:vAlign w:val="bottom"/>
          </w:tcPr>
          <w:p w14:paraId="30394B5D" w14:textId="40020D17" w:rsidR="003D3688" w:rsidRPr="00A82E69" w:rsidRDefault="00A82E69" w:rsidP="00A82E69">
            <w:pPr>
              <w:jc w:val="right"/>
              <w:rPr>
                <w:color w:val="000000"/>
                <w:sz w:val="18"/>
                <w:szCs w:val="18"/>
                <w:lang w:val="ru-RU" w:eastAsia="en-GB"/>
              </w:rPr>
            </w:pPr>
            <w:r>
              <w:rPr>
                <w:color w:val="000000"/>
                <w:sz w:val="18"/>
                <w:szCs w:val="18"/>
                <w:lang w:val="ru-RU" w:eastAsia="en-GB"/>
              </w:rPr>
              <w:t>609</w:t>
            </w:r>
          </w:p>
        </w:tc>
        <w:tc>
          <w:tcPr>
            <w:tcW w:w="404" w:type="pct"/>
            <w:tcBorders>
              <w:top w:val="nil"/>
              <w:left w:val="nil"/>
              <w:bottom w:val="nil"/>
              <w:right w:val="nil"/>
            </w:tcBorders>
            <w:vAlign w:val="bottom"/>
          </w:tcPr>
          <w:p w14:paraId="79D7BC98" w14:textId="720387FB" w:rsidR="003D3688" w:rsidRPr="00A82E69" w:rsidRDefault="00A82E69" w:rsidP="00A82E69">
            <w:pPr>
              <w:jc w:val="right"/>
              <w:rPr>
                <w:color w:val="000000"/>
                <w:sz w:val="18"/>
                <w:szCs w:val="18"/>
                <w:lang w:val="ru-RU"/>
              </w:rPr>
            </w:pPr>
            <w:r>
              <w:rPr>
                <w:color w:val="000000"/>
                <w:sz w:val="18"/>
                <w:szCs w:val="18"/>
                <w:lang w:val="ru-RU"/>
              </w:rPr>
              <w:t>244,492</w:t>
            </w:r>
          </w:p>
        </w:tc>
        <w:tc>
          <w:tcPr>
            <w:tcW w:w="404" w:type="pct"/>
            <w:tcBorders>
              <w:top w:val="nil"/>
              <w:left w:val="nil"/>
              <w:bottom w:val="nil"/>
              <w:right w:val="nil"/>
            </w:tcBorders>
            <w:shd w:val="clear" w:color="auto" w:fill="auto"/>
            <w:noWrap/>
            <w:vAlign w:val="bottom"/>
          </w:tcPr>
          <w:p w14:paraId="210CFD2A" w14:textId="568CBC6C" w:rsidR="003D3688" w:rsidRPr="00A82E69" w:rsidRDefault="00A82E69" w:rsidP="00A82E69">
            <w:pPr>
              <w:jc w:val="right"/>
              <w:rPr>
                <w:color w:val="000000"/>
                <w:sz w:val="18"/>
                <w:szCs w:val="18"/>
                <w:lang w:val="ru-RU" w:eastAsia="en-GB"/>
              </w:rPr>
            </w:pPr>
            <w:r>
              <w:rPr>
                <w:color w:val="000000"/>
                <w:sz w:val="18"/>
                <w:szCs w:val="18"/>
                <w:lang w:val="ru-RU" w:eastAsia="en-GB"/>
              </w:rPr>
              <w:t>-</w:t>
            </w:r>
          </w:p>
        </w:tc>
        <w:tc>
          <w:tcPr>
            <w:tcW w:w="437" w:type="pct"/>
            <w:tcBorders>
              <w:top w:val="nil"/>
              <w:left w:val="nil"/>
              <w:bottom w:val="nil"/>
              <w:right w:val="nil"/>
            </w:tcBorders>
            <w:shd w:val="clear" w:color="auto" w:fill="auto"/>
            <w:noWrap/>
            <w:vAlign w:val="bottom"/>
          </w:tcPr>
          <w:p w14:paraId="0A58E796" w14:textId="42EADC8F" w:rsidR="003D3688" w:rsidRPr="00A82E69" w:rsidRDefault="00A82E69" w:rsidP="00A82E69">
            <w:pPr>
              <w:jc w:val="right"/>
              <w:rPr>
                <w:color w:val="000000"/>
                <w:sz w:val="18"/>
                <w:szCs w:val="18"/>
                <w:lang w:val="ru-RU" w:eastAsia="en-GB"/>
              </w:rPr>
            </w:pPr>
            <w:r>
              <w:rPr>
                <w:color w:val="000000"/>
                <w:sz w:val="18"/>
                <w:szCs w:val="18"/>
                <w:lang w:val="ru-RU" w:eastAsia="en-GB"/>
              </w:rPr>
              <w:t>14,519</w:t>
            </w:r>
          </w:p>
        </w:tc>
        <w:tc>
          <w:tcPr>
            <w:tcW w:w="459" w:type="pct"/>
            <w:tcBorders>
              <w:top w:val="nil"/>
              <w:left w:val="nil"/>
              <w:bottom w:val="nil"/>
              <w:right w:val="nil"/>
            </w:tcBorders>
            <w:shd w:val="clear" w:color="auto" w:fill="auto"/>
            <w:noWrap/>
            <w:vAlign w:val="bottom"/>
          </w:tcPr>
          <w:p w14:paraId="0FB9293B" w14:textId="4FCC800D" w:rsidR="003D3688" w:rsidRPr="00A82E69" w:rsidRDefault="00A82E69" w:rsidP="00A82E69">
            <w:pPr>
              <w:jc w:val="right"/>
              <w:rPr>
                <w:color w:val="000000"/>
                <w:sz w:val="18"/>
                <w:szCs w:val="18"/>
                <w:lang w:val="ru-RU" w:eastAsia="en-GB"/>
              </w:rPr>
            </w:pPr>
            <w:r>
              <w:rPr>
                <w:color w:val="000000"/>
                <w:sz w:val="18"/>
                <w:szCs w:val="18"/>
                <w:lang w:val="ru-RU" w:eastAsia="en-GB"/>
              </w:rPr>
              <w:t>139,509</w:t>
            </w:r>
          </w:p>
        </w:tc>
        <w:tc>
          <w:tcPr>
            <w:tcW w:w="371" w:type="pct"/>
            <w:tcBorders>
              <w:top w:val="nil"/>
              <w:left w:val="nil"/>
              <w:bottom w:val="nil"/>
              <w:right w:val="nil"/>
            </w:tcBorders>
            <w:shd w:val="clear" w:color="auto" w:fill="auto"/>
            <w:noWrap/>
            <w:vAlign w:val="bottom"/>
          </w:tcPr>
          <w:p w14:paraId="4D6F77B4" w14:textId="699049E3" w:rsidR="003D3688" w:rsidRPr="00310C73" w:rsidRDefault="00310C73" w:rsidP="00A82E69">
            <w:pPr>
              <w:jc w:val="right"/>
              <w:rPr>
                <w:color w:val="000000"/>
                <w:sz w:val="18"/>
                <w:szCs w:val="18"/>
                <w:lang w:val="ru-RU" w:eastAsia="en-GB"/>
              </w:rPr>
            </w:pPr>
            <w:r>
              <w:rPr>
                <w:color w:val="000000"/>
                <w:sz w:val="18"/>
                <w:szCs w:val="18"/>
                <w:lang w:val="ru-RU" w:eastAsia="en-GB"/>
              </w:rPr>
              <w:t>-</w:t>
            </w:r>
          </w:p>
        </w:tc>
        <w:tc>
          <w:tcPr>
            <w:tcW w:w="350" w:type="pct"/>
            <w:tcBorders>
              <w:top w:val="nil"/>
              <w:left w:val="nil"/>
              <w:bottom w:val="nil"/>
              <w:right w:val="nil"/>
            </w:tcBorders>
            <w:shd w:val="clear" w:color="auto" w:fill="auto"/>
            <w:noWrap/>
            <w:vAlign w:val="bottom"/>
          </w:tcPr>
          <w:p w14:paraId="485001DE" w14:textId="3CCBF853" w:rsidR="003D3688" w:rsidRPr="00310C73" w:rsidRDefault="00310C73" w:rsidP="00A82E69">
            <w:pPr>
              <w:jc w:val="right"/>
              <w:rPr>
                <w:b/>
                <w:bCs/>
                <w:color w:val="000000"/>
                <w:sz w:val="18"/>
                <w:szCs w:val="18"/>
                <w:lang w:val="ru-RU" w:eastAsia="en-GB"/>
              </w:rPr>
            </w:pPr>
            <w:r>
              <w:rPr>
                <w:b/>
                <w:bCs/>
                <w:color w:val="000000"/>
                <w:sz w:val="18"/>
                <w:szCs w:val="18"/>
                <w:lang w:val="ru-RU" w:eastAsia="en-GB"/>
              </w:rPr>
              <w:t>399,129</w:t>
            </w:r>
          </w:p>
        </w:tc>
      </w:tr>
      <w:tr w:rsidR="003D3688" w:rsidRPr="00EC690A" w14:paraId="54C6850A" w14:textId="77777777" w:rsidTr="00995233">
        <w:trPr>
          <w:trHeight w:val="300"/>
        </w:trPr>
        <w:tc>
          <w:tcPr>
            <w:tcW w:w="2199" w:type="pct"/>
            <w:tcBorders>
              <w:top w:val="single" w:sz="4" w:space="0" w:color="auto"/>
              <w:left w:val="nil"/>
              <w:bottom w:val="single" w:sz="4" w:space="0" w:color="auto"/>
              <w:right w:val="nil"/>
            </w:tcBorders>
            <w:shd w:val="clear" w:color="auto" w:fill="auto"/>
            <w:noWrap/>
            <w:vAlign w:val="bottom"/>
            <w:hideMark/>
          </w:tcPr>
          <w:p w14:paraId="68D4083D" w14:textId="0FFC477F" w:rsidR="003D3688" w:rsidRPr="00EC690A" w:rsidRDefault="003D3688" w:rsidP="000B68BF">
            <w:pPr>
              <w:rPr>
                <w:b/>
                <w:bCs/>
                <w:color w:val="000000"/>
                <w:sz w:val="18"/>
                <w:szCs w:val="18"/>
                <w:lang w:eastAsia="en-GB"/>
              </w:rPr>
            </w:pPr>
            <w:r>
              <w:rPr>
                <w:b/>
                <w:bCs/>
                <w:color w:val="000000"/>
                <w:sz w:val="18"/>
                <w:szCs w:val="18"/>
                <w:lang w:eastAsia="en-GB"/>
              </w:rPr>
              <w:t>Net payments</w:t>
            </w:r>
          </w:p>
        </w:tc>
        <w:tc>
          <w:tcPr>
            <w:tcW w:w="375" w:type="pct"/>
            <w:tcBorders>
              <w:top w:val="single" w:sz="4" w:space="0" w:color="auto"/>
              <w:left w:val="nil"/>
              <w:bottom w:val="single" w:sz="4" w:space="0" w:color="auto"/>
              <w:right w:val="nil"/>
            </w:tcBorders>
            <w:shd w:val="clear" w:color="auto" w:fill="auto"/>
            <w:noWrap/>
            <w:vAlign w:val="bottom"/>
          </w:tcPr>
          <w:p w14:paraId="294CE94C" w14:textId="72282982" w:rsidR="003D3688" w:rsidRPr="00A82E69" w:rsidRDefault="00A82E69" w:rsidP="00A82E69">
            <w:pPr>
              <w:jc w:val="right"/>
              <w:rPr>
                <w:b/>
                <w:bCs/>
                <w:color w:val="000000"/>
                <w:sz w:val="18"/>
                <w:szCs w:val="18"/>
                <w:lang w:val="ru-RU" w:eastAsia="en-GB"/>
              </w:rPr>
            </w:pPr>
            <w:r>
              <w:rPr>
                <w:b/>
                <w:bCs/>
                <w:color w:val="000000"/>
                <w:sz w:val="18"/>
                <w:szCs w:val="18"/>
                <w:lang w:val="ru-RU" w:eastAsia="en-GB"/>
              </w:rPr>
              <w:t>(9,948)</w:t>
            </w:r>
          </w:p>
        </w:tc>
        <w:tc>
          <w:tcPr>
            <w:tcW w:w="404" w:type="pct"/>
            <w:tcBorders>
              <w:top w:val="single" w:sz="4" w:space="0" w:color="auto"/>
              <w:left w:val="nil"/>
              <w:bottom w:val="single" w:sz="4" w:space="0" w:color="auto"/>
              <w:right w:val="nil"/>
            </w:tcBorders>
            <w:vAlign w:val="bottom"/>
          </w:tcPr>
          <w:p w14:paraId="7953B94F" w14:textId="5638AB4A" w:rsidR="003D3688" w:rsidRPr="00A82E69" w:rsidRDefault="00A82E69" w:rsidP="00A82E69">
            <w:pPr>
              <w:jc w:val="right"/>
              <w:rPr>
                <w:b/>
                <w:bCs/>
                <w:color w:val="000000"/>
                <w:sz w:val="18"/>
                <w:szCs w:val="18"/>
                <w:lang w:val="ru-RU"/>
              </w:rPr>
            </w:pPr>
            <w:r>
              <w:rPr>
                <w:b/>
                <w:bCs/>
                <w:color w:val="000000"/>
                <w:sz w:val="18"/>
                <w:szCs w:val="18"/>
                <w:lang w:val="ru-RU"/>
              </w:rPr>
              <w:t>(93,342)</w:t>
            </w:r>
          </w:p>
        </w:tc>
        <w:tc>
          <w:tcPr>
            <w:tcW w:w="404" w:type="pct"/>
            <w:tcBorders>
              <w:top w:val="single" w:sz="4" w:space="0" w:color="auto"/>
              <w:left w:val="nil"/>
              <w:bottom w:val="single" w:sz="4" w:space="0" w:color="auto"/>
              <w:right w:val="nil"/>
            </w:tcBorders>
            <w:shd w:val="clear" w:color="auto" w:fill="auto"/>
            <w:noWrap/>
            <w:vAlign w:val="bottom"/>
          </w:tcPr>
          <w:p w14:paraId="069ED9FC" w14:textId="70256C4C" w:rsidR="003D3688" w:rsidRPr="00A82E69" w:rsidRDefault="00A82E69" w:rsidP="00A82E69">
            <w:pPr>
              <w:jc w:val="right"/>
              <w:rPr>
                <w:b/>
                <w:bCs/>
                <w:color w:val="000000"/>
                <w:sz w:val="18"/>
                <w:szCs w:val="18"/>
                <w:lang w:val="ru-RU" w:eastAsia="en-GB"/>
              </w:rPr>
            </w:pPr>
            <w:r>
              <w:rPr>
                <w:b/>
                <w:bCs/>
                <w:color w:val="000000"/>
                <w:sz w:val="18"/>
                <w:szCs w:val="18"/>
                <w:lang w:val="ru-RU" w:eastAsia="en-GB"/>
              </w:rPr>
              <w:t>-</w:t>
            </w:r>
          </w:p>
        </w:tc>
        <w:tc>
          <w:tcPr>
            <w:tcW w:w="437" w:type="pct"/>
            <w:tcBorders>
              <w:top w:val="single" w:sz="4" w:space="0" w:color="auto"/>
              <w:left w:val="nil"/>
              <w:bottom w:val="single" w:sz="4" w:space="0" w:color="auto"/>
              <w:right w:val="nil"/>
            </w:tcBorders>
            <w:shd w:val="clear" w:color="auto" w:fill="auto"/>
            <w:noWrap/>
            <w:vAlign w:val="bottom"/>
          </w:tcPr>
          <w:p w14:paraId="171D5611" w14:textId="19BA627E" w:rsidR="003D3688" w:rsidRPr="00A82E69" w:rsidRDefault="00A82E69" w:rsidP="00A82E69">
            <w:pPr>
              <w:jc w:val="right"/>
              <w:rPr>
                <w:b/>
                <w:bCs/>
                <w:color w:val="000000"/>
                <w:sz w:val="18"/>
                <w:szCs w:val="18"/>
                <w:lang w:val="ru-RU" w:eastAsia="en-GB"/>
              </w:rPr>
            </w:pPr>
            <w:r>
              <w:rPr>
                <w:b/>
                <w:bCs/>
                <w:color w:val="000000"/>
                <w:sz w:val="18"/>
                <w:szCs w:val="18"/>
                <w:lang w:val="ru-RU" w:eastAsia="en-GB"/>
              </w:rPr>
              <w:t>(14,181)</w:t>
            </w:r>
          </w:p>
        </w:tc>
        <w:tc>
          <w:tcPr>
            <w:tcW w:w="459" w:type="pct"/>
            <w:tcBorders>
              <w:top w:val="single" w:sz="4" w:space="0" w:color="auto"/>
              <w:left w:val="nil"/>
              <w:bottom w:val="single" w:sz="4" w:space="0" w:color="auto"/>
              <w:right w:val="nil"/>
            </w:tcBorders>
            <w:shd w:val="clear" w:color="auto" w:fill="auto"/>
            <w:noWrap/>
            <w:vAlign w:val="bottom"/>
          </w:tcPr>
          <w:p w14:paraId="5B7B8285" w14:textId="14E8FFB9" w:rsidR="003D3688" w:rsidRPr="00A82E69" w:rsidRDefault="00A82E69" w:rsidP="00A82E69">
            <w:pPr>
              <w:jc w:val="right"/>
              <w:rPr>
                <w:b/>
                <w:bCs/>
                <w:color w:val="000000"/>
                <w:sz w:val="18"/>
                <w:szCs w:val="18"/>
                <w:lang w:val="ru-RU" w:eastAsia="en-GB"/>
              </w:rPr>
            </w:pPr>
            <w:r>
              <w:rPr>
                <w:b/>
                <w:bCs/>
                <w:color w:val="000000"/>
                <w:sz w:val="18"/>
                <w:szCs w:val="18"/>
                <w:lang w:val="ru-RU" w:eastAsia="en-GB"/>
              </w:rPr>
              <w:t>(8,020,795)</w:t>
            </w:r>
          </w:p>
        </w:tc>
        <w:tc>
          <w:tcPr>
            <w:tcW w:w="371" w:type="pct"/>
            <w:tcBorders>
              <w:top w:val="single" w:sz="4" w:space="0" w:color="auto"/>
              <w:left w:val="nil"/>
              <w:bottom w:val="single" w:sz="4" w:space="0" w:color="auto"/>
              <w:right w:val="nil"/>
            </w:tcBorders>
            <w:shd w:val="clear" w:color="auto" w:fill="auto"/>
            <w:noWrap/>
            <w:vAlign w:val="bottom"/>
          </w:tcPr>
          <w:p w14:paraId="2C4B18EF" w14:textId="60A3536F" w:rsidR="003D3688" w:rsidRPr="00310C73" w:rsidRDefault="00310C73" w:rsidP="00A82E69">
            <w:pPr>
              <w:jc w:val="right"/>
              <w:rPr>
                <w:b/>
                <w:bCs/>
                <w:color w:val="000000"/>
                <w:sz w:val="18"/>
                <w:szCs w:val="18"/>
                <w:lang w:val="ru-RU" w:eastAsia="en-GB"/>
              </w:rPr>
            </w:pPr>
            <w:r>
              <w:rPr>
                <w:b/>
                <w:bCs/>
                <w:color w:val="000000"/>
                <w:sz w:val="18"/>
                <w:szCs w:val="18"/>
                <w:lang w:val="ru-RU" w:eastAsia="en-GB"/>
              </w:rPr>
              <w:t>(547)</w:t>
            </w:r>
          </w:p>
        </w:tc>
        <w:tc>
          <w:tcPr>
            <w:tcW w:w="350" w:type="pct"/>
            <w:tcBorders>
              <w:top w:val="single" w:sz="4" w:space="0" w:color="auto"/>
              <w:left w:val="nil"/>
              <w:bottom w:val="single" w:sz="4" w:space="0" w:color="auto"/>
              <w:right w:val="nil"/>
            </w:tcBorders>
            <w:shd w:val="clear" w:color="auto" w:fill="auto"/>
            <w:noWrap/>
            <w:vAlign w:val="bottom"/>
          </w:tcPr>
          <w:p w14:paraId="580862E3" w14:textId="24AB944D" w:rsidR="003D3688" w:rsidRPr="00310C73" w:rsidRDefault="00310C73" w:rsidP="00A82E69">
            <w:pPr>
              <w:jc w:val="right"/>
              <w:rPr>
                <w:b/>
                <w:bCs/>
                <w:color w:val="000000"/>
                <w:sz w:val="18"/>
                <w:szCs w:val="18"/>
                <w:lang w:val="ru-RU" w:eastAsia="en-GB"/>
              </w:rPr>
            </w:pPr>
            <w:r>
              <w:rPr>
                <w:b/>
                <w:bCs/>
                <w:color w:val="000000"/>
                <w:sz w:val="18"/>
                <w:szCs w:val="18"/>
                <w:lang w:val="ru-RU" w:eastAsia="en-GB"/>
              </w:rPr>
              <w:t>(8,138,813)</w:t>
            </w:r>
          </w:p>
        </w:tc>
      </w:tr>
      <w:tr w:rsidR="003D3688" w:rsidRPr="00EC690A" w14:paraId="2C0233C0" w14:textId="77777777" w:rsidTr="007D3509">
        <w:trPr>
          <w:trHeight w:val="369"/>
        </w:trPr>
        <w:tc>
          <w:tcPr>
            <w:tcW w:w="2199" w:type="pct"/>
            <w:tcBorders>
              <w:top w:val="nil"/>
              <w:left w:val="nil"/>
              <w:bottom w:val="single" w:sz="4" w:space="0" w:color="auto"/>
              <w:right w:val="nil"/>
            </w:tcBorders>
            <w:shd w:val="clear" w:color="auto" w:fill="auto"/>
            <w:noWrap/>
            <w:vAlign w:val="bottom"/>
            <w:hideMark/>
          </w:tcPr>
          <w:p w14:paraId="0F11B166" w14:textId="00D2C4F3" w:rsidR="003D3688" w:rsidRPr="003D3688" w:rsidRDefault="003D3688" w:rsidP="000B68BF">
            <w:pPr>
              <w:rPr>
                <w:color w:val="000000"/>
                <w:sz w:val="18"/>
                <w:szCs w:val="18"/>
                <w:lang w:eastAsia="en-GB"/>
              </w:rPr>
            </w:pPr>
            <w:r w:rsidRPr="003D3688">
              <w:rPr>
                <w:color w:val="000000"/>
                <w:sz w:val="18"/>
                <w:szCs w:val="18"/>
                <w:lang w:eastAsia="en-GB"/>
              </w:rPr>
              <w:t>Change in provision for claims, net of reinsurance (Note 17)</w:t>
            </w:r>
          </w:p>
        </w:tc>
        <w:tc>
          <w:tcPr>
            <w:tcW w:w="375" w:type="pct"/>
            <w:tcBorders>
              <w:top w:val="nil"/>
              <w:left w:val="nil"/>
              <w:bottom w:val="single" w:sz="4" w:space="0" w:color="auto"/>
              <w:right w:val="nil"/>
            </w:tcBorders>
            <w:shd w:val="clear" w:color="auto" w:fill="auto"/>
            <w:noWrap/>
            <w:vAlign w:val="bottom"/>
          </w:tcPr>
          <w:p w14:paraId="34CF482F" w14:textId="2916E4F0" w:rsidR="003D3688" w:rsidRPr="00A82E69" w:rsidRDefault="00A82E69" w:rsidP="00A82E69">
            <w:pPr>
              <w:jc w:val="right"/>
              <w:rPr>
                <w:color w:val="000000"/>
                <w:sz w:val="18"/>
                <w:szCs w:val="18"/>
                <w:lang w:val="ru-RU" w:eastAsia="en-GB"/>
              </w:rPr>
            </w:pPr>
            <w:r>
              <w:rPr>
                <w:color w:val="000000"/>
                <w:sz w:val="18"/>
                <w:szCs w:val="18"/>
                <w:lang w:val="ru-RU" w:eastAsia="en-GB"/>
              </w:rPr>
              <w:t>(4,758)</w:t>
            </w:r>
          </w:p>
        </w:tc>
        <w:tc>
          <w:tcPr>
            <w:tcW w:w="404" w:type="pct"/>
            <w:tcBorders>
              <w:top w:val="nil"/>
              <w:left w:val="nil"/>
              <w:bottom w:val="single" w:sz="4" w:space="0" w:color="auto"/>
              <w:right w:val="nil"/>
            </w:tcBorders>
            <w:vAlign w:val="bottom"/>
          </w:tcPr>
          <w:p w14:paraId="374211E5" w14:textId="1577EB5A" w:rsidR="003D3688" w:rsidRPr="00A82E69" w:rsidRDefault="00A82E69" w:rsidP="00A82E69">
            <w:pPr>
              <w:jc w:val="right"/>
              <w:rPr>
                <w:color w:val="000000"/>
                <w:sz w:val="18"/>
                <w:szCs w:val="18"/>
                <w:lang w:val="ru-RU" w:eastAsia="en-GB"/>
              </w:rPr>
            </w:pPr>
            <w:r>
              <w:rPr>
                <w:color w:val="000000"/>
                <w:sz w:val="18"/>
                <w:szCs w:val="18"/>
                <w:lang w:val="ru-RU" w:eastAsia="en-GB"/>
              </w:rPr>
              <w:t>(2,168)</w:t>
            </w:r>
          </w:p>
        </w:tc>
        <w:tc>
          <w:tcPr>
            <w:tcW w:w="404" w:type="pct"/>
            <w:tcBorders>
              <w:top w:val="nil"/>
              <w:left w:val="nil"/>
              <w:bottom w:val="single" w:sz="4" w:space="0" w:color="auto"/>
              <w:right w:val="nil"/>
            </w:tcBorders>
            <w:shd w:val="clear" w:color="auto" w:fill="auto"/>
            <w:noWrap/>
            <w:vAlign w:val="bottom"/>
          </w:tcPr>
          <w:p w14:paraId="0F10FA69" w14:textId="6C24B097" w:rsidR="003D3688" w:rsidRPr="00A82E69" w:rsidRDefault="00A82E69" w:rsidP="00A82E69">
            <w:pPr>
              <w:jc w:val="right"/>
              <w:rPr>
                <w:color w:val="000000"/>
                <w:sz w:val="18"/>
                <w:szCs w:val="18"/>
                <w:lang w:val="ru-RU" w:eastAsia="en-GB"/>
              </w:rPr>
            </w:pPr>
            <w:r>
              <w:rPr>
                <w:color w:val="000000"/>
                <w:sz w:val="18"/>
                <w:szCs w:val="18"/>
                <w:lang w:val="ru-RU" w:eastAsia="en-GB"/>
              </w:rPr>
              <w:t>(755)</w:t>
            </w:r>
          </w:p>
        </w:tc>
        <w:tc>
          <w:tcPr>
            <w:tcW w:w="437" w:type="pct"/>
            <w:tcBorders>
              <w:top w:val="nil"/>
              <w:left w:val="nil"/>
              <w:bottom w:val="single" w:sz="4" w:space="0" w:color="auto"/>
              <w:right w:val="nil"/>
            </w:tcBorders>
            <w:shd w:val="clear" w:color="auto" w:fill="auto"/>
            <w:noWrap/>
            <w:vAlign w:val="bottom"/>
          </w:tcPr>
          <w:p w14:paraId="19633EA0" w14:textId="28470D2E" w:rsidR="003D3688" w:rsidRPr="00A82E69" w:rsidRDefault="00A82E69" w:rsidP="00A82E69">
            <w:pPr>
              <w:jc w:val="right"/>
              <w:rPr>
                <w:color w:val="000000"/>
                <w:sz w:val="18"/>
                <w:szCs w:val="18"/>
                <w:lang w:val="ru-RU" w:eastAsia="en-GB"/>
              </w:rPr>
            </w:pPr>
            <w:r>
              <w:rPr>
                <w:color w:val="000000"/>
                <w:sz w:val="18"/>
                <w:szCs w:val="18"/>
                <w:lang w:val="ru-RU" w:eastAsia="en-GB"/>
              </w:rPr>
              <w:t>37,051</w:t>
            </w:r>
          </w:p>
        </w:tc>
        <w:tc>
          <w:tcPr>
            <w:tcW w:w="459" w:type="pct"/>
            <w:tcBorders>
              <w:top w:val="nil"/>
              <w:left w:val="nil"/>
              <w:bottom w:val="single" w:sz="4" w:space="0" w:color="auto"/>
              <w:right w:val="nil"/>
            </w:tcBorders>
            <w:shd w:val="clear" w:color="auto" w:fill="auto"/>
            <w:noWrap/>
            <w:vAlign w:val="bottom"/>
          </w:tcPr>
          <w:p w14:paraId="0F66479C" w14:textId="0D4C19A3" w:rsidR="003D3688" w:rsidRPr="00A82E69" w:rsidRDefault="00A82E69" w:rsidP="00A82E69">
            <w:pPr>
              <w:jc w:val="right"/>
              <w:rPr>
                <w:color w:val="000000"/>
                <w:sz w:val="18"/>
                <w:szCs w:val="18"/>
                <w:lang w:val="ru-RU" w:eastAsia="en-GB"/>
              </w:rPr>
            </w:pPr>
            <w:r>
              <w:rPr>
                <w:color w:val="000000"/>
                <w:sz w:val="18"/>
                <w:szCs w:val="18"/>
                <w:lang w:val="ru-RU" w:eastAsia="en-GB"/>
              </w:rPr>
              <w:t>(322,175)</w:t>
            </w:r>
          </w:p>
        </w:tc>
        <w:tc>
          <w:tcPr>
            <w:tcW w:w="371" w:type="pct"/>
            <w:tcBorders>
              <w:top w:val="nil"/>
              <w:left w:val="nil"/>
              <w:bottom w:val="single" w:sz="4" w:space="0" w:color="auto"/>
              <w:right w:val="nil"/>
            </w:tcBorders>
            <w:shd w:val="clear" w:color="auto" w:fill="auto"/>
            <w:noWrap/>
            <w:vAlign w:val="bottom"/>
          </w:tcPr>
          <w:p w14:paraId="61D5EA16" w14:textId="158C9083" w:rsidR="003D3688" w:rsidRPr="00310C73" w:rsidRDefault="00310C73" w:rsidP="00A82E69">
            <w:pPr>
              <w:jc w:val="right"/>
              <w:rPr>
                <w:color w:val="000000"/>
                <w:sz w:val="18"/>
                <w:szCs w:val="18"/>
                <w:lang w:val="ru-RU" w:eastAsia="en-GB"/>
              </w:rPr>
            </w:pPr>
            <w:r>
              <w:rPr>
                <w:color w:val="000000"/>
                <w:sz w:val="18"/>
                <w:szCs w:val="18"/>
                <w:lang w:val="ru-RU" w:eastAsia="en-GB"/>
              </w:rPr>
              <w:t>6,152</w:t>
            </w:r>
          </w:p>
        </w:tc>
        <w:tc>
          <w:tcPr>
            <w:tcW w:w="350" w:type="pct"/>
            <w:tcBorders>
              <w:top w:val="nil"/>
              <w:left w:val="nil"/>
              <w:bottom w:val="single" w:sz="4" w:space="0" w:color="auto"/>
              <w:right w:val="nil"/>
            </w:tcBorders>
            <w:shd w:val="clear" w:color="auto" w:fill="auto"/>
            <w:noWrap/>
            <w:vAlign w:val="bottom"/>
          </w:tcPr>
          <w:p w14:paraId="66823398" w14:textId="008B7708" w:rsidR="003D3688" w:rsidRPr="00310C73" w:rsidRDefault="00310C73" w:rsidP="00A82E69">
            <w:pPr>
              <w:jc w:val="right"/>
              <w:rPr>
                <w:color w:val="000000"/>
                <w:sz w:val="18"/>
                <w:szCs w:val="18"/>
                <w:lang w:val="ru-RU" w:eastAsia="en-GB"/>
              </w:rPr>
            </w:pPr>
            <w:r>
              <w:rPr>
                <w:color w:val="000000"/>
                <w:sz w:val="18"/>
                <w:szCs w:val="18"/>
                <w:lang w:val="ru-RU" w:eastAsia="en-GB"/>
              </w:rPr>
              <w:t>(286,653)</w:t>
            </w:r>
          </w:p>
        </w:tc>
      </w:tr>
      <w:tr w:rsidR="003D3688" w:rsidRPr="00EC690A" w14:paraId="4C6BE93A" w14:textId="77777777" w:rsidTr="007D3509">
        <w:trPr>
          <w:trHeight w:val="321"/>
        </w:trPr>
        <w:tc>
          <w:tcPr>
            <w:tcW w:w="2199" w:type="pct"/>
            <w:tcBorders>
              <w:top w:val="single" w:sz="4" w:space="0" w:color="auto"/>
              <w:left w:val="nil"/>
              <w:bottom w:val="double" w:sz="4" w:space="0" w:color="auto"/>
              <w:right w:val="nil"/>
            </w:tcBorders>
            <w:shd w:val="clear" w:color="auto" w:fill="auto"/>
            <w:noWrap/>
            <w:vAlign w:val="bottom"/>
            <w:hideMark/>
          </w:tcPr>
          <w:p w14:paraId="6B8804F2" w14:textId="3E8B2BC4" w:rsidR="003D3688" w:rsidRPr="00EC690A" w:rsidRDefault="003D3688" w:rsidP="000B68BF">
            <w:pPr>
              <w:rPr>
                <w:b/>
                <w:bCs/>
                <w:color w:val="000000"/>
                <w:sz w:val="18"/>
                <w:szCs w:val="18"/>
                <w:lang w:eastAsia="en-GB"/>
              </w:rPr>
            </w:pPr>
            <w:r>
              <w:rPr>
                <w:b/>
                <w:bCs/>
                <w:color w:val="000000"/>
                <w:sz w:val="18"/>
                <w:szCs w:val="18"/>
                <w:lang w:eastAsia="en-GB"/>
              </w:rPr>
              <w:t>Net claims pai</w:t>
            </w:r>
            <w:r w:rsidR="00995233">
              <w:rPr>
                <w:b/>
                <w:bCs/>
                <w:color w:val="000000"/>
                <w:sz w:val="18"/>
                <w:szCs w:val="18"/>
                <w:lang w:eastAsia="en-GB"/>
              </w:rPr>
              <w:t>d</w:t>
            </w:r>
          </w:p>
        </w:tc>
        <w:tc>
          <w:tcPr>
            <w:tcW w:w="375" w:type="pct"/>
            <w:tcBorders>
              <w:top w:val="single" w:sz="4" w:space="0" w:color="auto"/>
              <w:left w:val="nil"/>
              <w:bottom w:val="double" w:sz="4" w:space="0" w:color="auto"/>
              <w:right w:val="nil"/>
            </w:tcBorders>
            <w:shd w:val="clear" w:color="auto" w:fill="auto"/>
            <w:noWrap/>
            <w:vAlign w:val="bottom"/>
          </w:tcPr>
          <w:p w14:paraId="5C329A98" w14:textId="710E6E2B" w:rsidR="003D3688" w:rsidRPr="00A82E69" w:rsidRDefault="00A82E69" w:rsidP="00A82E69">
            <w:pPr>
              <w:jc w:val="right"/>
              <w:rPr>
                <w:b/>
                <w:bCs/>
                <w:color w:val="000000"/>
                <w:sz w:val="18"/>
                <w:szCs w:val="18"/>
                <w:lang w:val="ru-RU" w:eastAsia="en-GB"/>
              </w:rPr>
            </w:pPr>
            <w:r>
              <w:rPr>
                <w:b/>
                <w:bCs/>
                <w:color w:val="000000"/>
                <w:sz w:val="18"/>
                <w:szCs w:val="18"/>
                <w:lang w:val="ru-RU" w:eastAsia="en-GB"/>
              </w:rPr>
              <w:t>(14,706)</w:t>
            </w:r>
          </w:p>
        </w:tc>
        <w:tc>
          <w:tcPr>
            <w:tcW w:w="404" w:type="pct"/>
            <w:tcBorders>
              <w:top w:val="single" w:sz="4" w:space="0" w:color="auto"/>
              <w:left w:val="nil"/>
              <w:bottom w:val="double" w:sz="4" w:space="0" w:color="auto"/>
              <w:right w:val="nil"/>
            </w:tcBorders>
            <w:vAlign w:val="bottom"/>
          </w:tcPr>
          <w:p w14:paraId="549A3598" w14:textId="17EF7CF0" w:rsidR="003D3688" w:rsidRPr="00A82E69" w:rsidRDefault="00A82E69" w:rsidP="00A82E69">
            <w:pPr>
              <w:jc w:val="right"/>
              <w:rPr>
                <w:b/>
                <w:bCs/>
                <w:color w:val="000000"/>
                <w:sz w:val="18"/>
                <w:szCs w:val="18"/>
                <w:lang w:val="ru-RU"/>
              </w:rPr>
            </w:pPr>
            <w:r>
              <w:rPr>
                <w:b/>
                <w:bCs/>
                <w:color w:val="000000"/>
                <w:sz w:val="18"/>
                <w:szCs w:val="18"/>
                <w:lang w:val="ru-RU"/>
              </w:rPr>
              <w:t>(95,510)</w:t>
            </w:r>
          </w:p>
        </w:tc>
        <w:tc>
          <w:tcPr>
            <w:tcW w:w="404" w:type="pct"/>
            <w:tcBorders>
              <w:top w:val="single" w:sz="4" w:space="0" w:color="auto"/>
              <w:left w:val="nil"/>
              <w:bottom w:val="double" w:sz="4" w:space="0" w:color="auto"/>
              <w:right w:val="nil"/>
            </w:tcBorders>
            <w:shd w:val="clear" w:color="auto" w:fill="auto"/>
            <w:noWrap/>
            <w:vAlign w:val="bottom"/>
          </w:tcPr>
          <w:p w14:paraId="1C619B9A" w14:textId="5F7650BC" w:rsidR="003D3688" w:rsidRPr="00A82E69" w:rsidRDefault="00A82E69" w:rsidP="00A82E69">
            <w:pPr>
              <w:jc w:val="right"/>
              <w:rPr>
                <w:b/>
                <w:bCs/>
                <w:color w:val="000000"/>
                <w:sz w:val="18"/>
                <w:szCs w:val="18"/>
                <w:lang w:val="ru-RU" w:eastAsia="en-GB"/>
              </w:rPr>
            </w:pPr>
            <w:r>
              <w:rPr>
                <w:b/>
                <w:bCs/>
                <w:color w:val="000000"/>
                <w:sz w:val="18"/>
                <w:szCs w:val="18"/>
                <w:lang w:val="ru-RU" w:eastAsia="en-GB"/>
              </w:rPr>
              <w:t>(755)</w:t>
            </w:r>
          </w:p>
        </w:tc>
        <w:tc>
          <w:tcPr>
            <w:tcW w:w="437" w:type="pct"/>
            <w:tcBorders>
              <w:top w:val="single" w:sz="4" w:space="0" w:color="auto"/>
              <w:left w:val="nil"/>
              <w:bottom w:val="double" w:sz="4" w:space="0" w:color="auto"/>
              <w:right w:val="nil"/>
            </w:tcBorders>
            <w:shd w:val="clear" w:color="auto" w:fill="auto"/>
            <w:noWrap/>
            <w:vAlign w:val="bottom"/>
          </w:tcPr>
          <w:p w14:paraId="679B2960" w14:textId="504D1D54" w:rsidR="003D3688" w:rsidRPr="00A82E69" w:rsidRDefault="00A82E69" w:rsidP="00A82E69">
            <w:pPr>
              <w:jc w:val="right"/>
              <w:rPr>
                <w:b/>
                <w:bCs/>
                <w:color w:val="000000"/>
                <w:sz w:val="18"/>
                <w:szCs w:val="18"/>
                <w:lang w:val="ru-RU" w:eastAsia="en-GB"/>
              </w:rPr>
            </w:pPr>
            <w:r>
              <w:rPr>
                <w:b/>
                <w:bCs/>
                <w:color w:val="000000"/>
                <w:sz w:val="18"/>
                <w:szCs w:val="18"/>
                <w:lang w:val="ru-RU" w:eastAsia="en-GB"/>
              </w:rPr>
              <w:t>22,870</w:t>
            </w:r>
          </w:p>
        </w:tc>
        <w:tc>
          <w:tcPr>
            <w:tcW w:w="459" w:type="pct"/>
            <w:tcBorders>
              <w:top w:val="single" w:sz="4" w:space="0" w:color="auto"/>
              <w:left w:val="nil"/>
              <w:bottom w:val="double" w:sz="4" w:space="0" w:color="auto"/>
              <w:right w:val="nil"/>
            </w:tcBorders>
            <w:shd w:val="clear" w:color="auto" w:fill="auto"/>
            <w:noWrap/>
            <w:vAlign w:val="bottom"/>
          </w:tcPr>
          <w:p w14:paraId="468F3E30" w14:textId="38E13F17" w:rsidR="003D3688" w:rsidRPr="00310C73" w:rsidRDefault="00310C73" w:rsidP="00A82E69">
            <w:pPr>
              <w:jc w:val="right"/>
              <w:rPr>
                <w:b/>
                <w:bCs/>
                <w:color w:val="000000"/>
                <w:sz w:val="18"/>
                <w:szCs w:val="18"/>
                <w:lang w:val="ru-RU" w:eastAsia="en-GB"/>
              </w:rPr>
            </w:pPr>
            <w:r>
              <w:rPr>
                <w:b/>
                <w:bCs/>
                <w:color w:val="000000"/>
                <w:sz w:val="18"/>
                <w:szCs w:val="18"/>
                <w:lang w:val="ru-RU" w:eastAsia="en-GB"/>
              </w:rPr>
              <w:t>(8,342,970)</w:t>
            </w:r>
          </w:p>
        </w:tc>
        <w:tc>
          <w:tcPr>
            <w:tcW w:w="371" w:type="pct"/>
            <w:tcBorders>
              <w:top w:val="single" w:sz="4" w:space="0" w:color="auto"/>
              <w:left w:val="nil"/>
              <w:bottom w:val="double" w:sz="4" w:space="0" w:color="auto"/>
              <w:right w:val="nil"/>
            </w:tcBorders>
            <w:shd w:val="clear" w:color="auto" w:fill="auto"/>
            <w:noWrap/>
            <w:vAlign w:val="bottom"/>
          </w:tcPr>
          <w:p w14:paraId="00518A03" w14:textId="2F8FEB25" w:rsidR="003D3688" w:rsidRPr="00310C73" w:rsidRDefault="00310C73" w:rsidP="00A82E69">
            <w:pPr>
              <w:jc w:val="right"/>
              <w:rPr>
                <w:b/>
                <w:bCs/>
                <w:color w:val="000000"/>
                <w:sz w:val="18"/>
                <w:szCs w:val="18"/>
                <w:lang w:val="ru-RU" w:eastAsia="en-GB"/>
              </w:rPr>
            </w:pPr>
            <w:r>
              <w:rPr>
                <w:b/>
                <w:bCs/>
                <w:color w:val="000000"/>
                <w:sz w:val="18"/>
                <w:szCs w:val="18"/>
                <w:lang w:val="ru-RU" w:eastAsia="en-GB"/>
              </w:rPr>
              <w:t>(5,605)</w:t>
            </w:r>
          </w:p>
        </w:tc>
        <w:tc>
          <w:tcPr>
            <w:tcW w:w="350" w:type="pct"/>
            <w:tcBorders>
              <w:top w:val="single" w:sz="4" w:space="0" w:color="auto"/>
              <w:left w:val="nil"/>
              <w:bottom w:val="double" w:sz="4" w:space="0" w:color="auto"/>
              <w:right w:val="nil"/>
            </w:tcBorders>
            <w:shd w:val="clear" w:color="auto" w:fill="auto"/>
            <w:noWrap/>
            <w:vAlign w:val="bottom"/>
          </w:tcPr>
          <w:p w14:paraId="53284F02" w14:textId="4C5B6FAA" w:rsidR="003D3688" w:rsidRPr="00310C73" w:rsidRDefault="00310C73" w:rsidP="00A82E69">
            <w:pPr>
              <w:jc w:val="right"/>
              <w:rPr>
                <w:b/>
                <w:bCs/>
                <w:color w:val="000000"/>
                <w:sz w:val="18"/>
                <w:szCs w:val="18"/>
                <w:lang w:val="ru-RU" w:eastAsia="en-GB"/>
              </w:rPr>
            </w:pPr>
            <w:r>
              <w:rPr>
                <w:b/>
                <w:bCs/>
                <w:color w:val="000000"/>
                <w:sz w:val="18"/>
                <w:szCs w:val="18"/>
                <w:lang w:val="ru-RU" w:eastAsia="en-GB"/>
              </w:rPr>
              <w:t>(8,425,466)</w:t>
            </w:r>
          </w:p>
        </w:tc>
      </w:tr>
    </w:tbl>
    <w:p w14:paraId="38358F7B" w14:textId="2B64B3C7" w:rsidR="006304E8" w:rsidRDefault="006304E8" w:rsidP="006304E8">
      <w:pPr>
        <w:spacing w:before="120" w:after="120"/>
        <w:rPr>
          <w:b/>
          <w:bCs/>
          <w:sz w:val="18"/>
          <w:szCs w:val="18"/>
          <w:lang w:val="en-US"/>
        </w:rPr>
      </w:pPr>
    </w:p>
    <w:p w14:paraId="5151A6FE" w14:textId="448045F9" w:rsidR="00995233" w:rsidRDefault="00995233" w:rsidP="006304E8">
      <w:pPr>
        <w:spacing w:before="120" w:after="120"/>
        <w:rPr>
          <w:b/>
          <w:bCs/>
          <w:sz w:val="18"/>
          <w:szCs w:val="18"/>
          <w:lang w:val="en-US"/>
        </w:rPr>
      </w:pPr>
    </w:p>
    <w:p w14:paraId="08094A49" w14:textId="67738A6A" w:rsidR="00995233" w:rsidRDefault="00995233" w:rsidP="006304E8">
      <w:pPr>
        <w:spacing w:before="120" w:after="120"/>
        <w:rPr>
          <w:b/>
          <w:bCs/>
          <w:sz w:val="18"/>
          <w:szCs w:val="18"/>
          <w:lang w:val="en-US"/>
        </w:rPr>
      </w:pPr>
    </w:p>
    <w:p w14:paraId="5691F1AD" w14:textId="37F16CA3" w:rsidR="00995233" w:rsidRDefault="00995233" w:rsidP="006304E8">
      <w:pPr>
        <w:spacing w:before="120" w:after="120"/>
        <w:rPr>
          <w:b/>
          <w:bCs/>
          <w:sz w:val="18"/>
          <w:szCs w:val="18"/>
          <w:lang w:val="en-US"/>
        </w:rPr>
      </w:pPr>
    </w:p>
    <w:p w14:paraId="43E18D8B" w14:textId="3EFFEFA7" w:rsidR="00995233" w:rsidRDefault="00995233" w:rsidP="006304E8">
      <w:pPr>
        <w:spacing w:before="120" w:after="120"/>
        <w:rPr>
          <w:b/>
          <w:bCs/>
          <w:sz w:val="18"/>
          <w:szCs w:val="18"/>
          <w:lang w:val="en-US"/>
        </w:rPr>
      </w:pPr>
    </w:p>
    <w:p w14:paraId="7B99B18E" w14:textId="523D9743" w:rsidR="00995233" w:rsidRDefault="00995233" w:rsidP="006304E8">
      <w:pPr>
        <w:spacing w:before="120" w:after="120"/>
        <w:rPr>
          <w:b/>
          <w:bCs/>
          <w:sz w:val="18"/>
          <w:szCs w:val="18"/>
          <w:lang w:val="en-US"/>
        </w:rPr>
      </w:pPr>
    </w:p>
    <w:p w14:paraId="1FE0B6CA" w14:textId="0AD127DF" w:rsidR="00995233" w:rsidRDefault="00995233" w:rsidP="006304E8">
      <w:pPr>
        <w:spacing w:before="120" w:after="120"/>
        <w:rPr>
          <w:b/>
          <w:bCs/>
          <w:sz w:val="18"/>
          <w:szCs w:val="18"/>
          <w:lang w:val="en-US"/>
        </w:rPr>
      </w:pPr>
    </w:p>
    <w:p w14:paraId="14F34A3D" w14:textId="5473D0CA" w:rsidR="00995233" w:rsidRDefault="00995233" w:rsidP="006304E8">
      <w:pPr>
        <w:spacing w:before="120" w:after="120"/>
        <w:rPr>
          <w:b/>
          <w:bCs/>
          <w:sz w:val="18"/>
          <w:szCs w:val="18"/>
          <w:lang w:val="en-US"/>
        </w:rPr>
      </w:pPr>
    </w:p>
    <w:p w14:paraId="7A1DABEC" w14:textId="5F597511" w:rsidR="00995233" w:rsidRDefault="00995233" w:rsidP="006304E8">
      <w:pPr>
        <w:spacing w:before="120" w:after="120"/>
        <w:rPr>
          <w:b/>
          <w:bCs/>
          <w:sz w:val="18"/>
          <w:szCs w:val="18"/>
          <w:lang w:val="en-US"/>
        </w:rPr>
      </w:pPr>
    </w:p>
    <w:p w14:paraId="05ED0298" w14:textId="70892688" w:rsidR="00995233" w:rsidRDefault="00995233" w:rsidP="006304E8">
      <w:pPr>
        <w:spacing w:before="120" w:after="120"/>
        <w:rPr>
          <w:b/>
          <w:bCs/>
          <w:sz w:val="18"/>
          <w:szCs w:val="18"/>
          <w:lang w:val="en-US"/>
        </w:rPr>
      </w:pPr>
    </w:p>
    <w:p w14:paraId="15847AF4" w14:textId="68F4DA2D" w:rsidR="00995233" w:rsidRPr="003D3688" w:rsidRDefault="00995233" w:rsidP="00995233">
      <w:pPr>
        <w:rPr>
          <w:sz w:val="18"/>
          <w:szCs w:val="18"/>
          <w:lang w:val="en-US"/>
        </w:rPr>
      </w:pPr>
      <w:r>
        <w:rPr>
          <w:sz w:val="18"/>
          <w:szCs w:val="18"/>
          <w:lang w:val="en-US"/>
        </w:rPr>
        <w:lastRenderedPageBreak/>
        <w:t>Below is the analysis of premiums and claims by line of the Company’s business for the year ended 31 December 2018:</w:t>
      </w:r>
    </w:p>
    <w:tbl>
      <w:tblPr>
        <w:tblW w:w="5000" w:type="pct"/>
        <w:tblLook w:val="04A0" w:firstRow="1" w:lastRow="0" w:firstColumn="1" w:lastColumn="0" w:noHBand="0" w:noVBand="1"/>
      </w:tblPr>
      <w:tblGrid>
        <w:gridCol w:w="6139"/>
        <w:gridCol w:w="1031"/>
        <w:gridCol w:w="1054"/>
        <w:gridCol w:w="1077"/>
        <w:gridCol w:w="1170"/>
        <w:gridCol w:w="1231"/>
        <w:gridCol w:w="1036"/>
        <w:gridCol w:w="1220"/>
      </w:tblGrid>
      <w:tr w:rsidR="00995233" w:rsidRPr="00EC690A" w14:paraId="77ABB4A0" w14:textId="77777777" w:rsidTr="007D3509">
        <w:trPr>
          <w:trHeight w:val="788"/>
        </w:trPr>
        <w:tc>
          <w:tcPr>
            <w:tcW w:w="2199" w:type="pct"/>
            <w:tcBorders>
              <w:top w:val="nil"/>
              <w:left w:val="nil"/>
              <w:bottom w:val="single" w:sz="4" w:space="0" w:color="auto"/>
              <w:right w:val="nil"/>
            </w:tcBorders>
            <w:shd w:val="clear" w:color="auto" w:fill="auto"/>
            <w:vAlign w:val="center"/>
            <w:hideMark/>
          </w:tcPr>
          <w:p w14:paraId="166DAB19" w14:textId="77777777" w:rsidR="00995233" w:rsidRPr="00EC690A" w:rsidRDefault="00995233" w:rsidP="00C4197C">
            <w:pPr>
              <w:jc w:val="center"/>
              <w:rPr>
                <w:color w:val="000000"/>
                <w:sz w:val="18"/>
                <w:szCs w:val="18"/>
                <w:lang w:eastAsia="en-GB"/>
              </w:rPr>
            </w:pPr>
            <w:r w:rsidRPr="00EC690A">
              <w:rPr>
                <w:color w:val="000000"/>
                <w:sz w:val="18"/>
                <w:szCs w:val="18"/>
                <w:lang w:eastAsia="en-GB"/>
              </w:rPr>
              <w:t> </w:t>
            </w:r>
          </w:p>
        </w:tc>
        <w:tc>
          <w:tcPr>
            <w:tcW w:w="369" w:type="pct"/>
            <w:tcBorders>
              <w:top w:val="nil"/>
              <w:left w:val="nil"/>
              <w:bottom w:val="single" w:sz="4" w:space="0" w:color="auto"/>
              <w:right w:val="nil"/>
            </w:tcBorders>
            <w:shd w:val="clear" w:color="auto" w:fill="auto"/>
            <w:vAlign w:val="center"/>
            <w:hideMark/>
          </w:tcPr>
          <w:p w14:paraId="0849AA5D" w14:textId="77777777" w:rsidR="00995233" w:rsidRPr="00EC690A" w:rsidRDefault="00995233" w:rsidP="00C4197C">
            <w:pPr>
              <w:jc w:val="right"/>
              <w:rPr>
                <w:b/>
                <w:bCs/>
                <w:color w:val="000000"/>
                <w:sz w:val="18"/>
                <w:szCs w:val="18"/>
                <w:lang w:eastAsia="en-GB"/>
              </w:rPr>
            </w:pPr>
            <w:r>
              <w:rPr>
                <w:b/>
                <w:bCs/>
                <w:color w:val="000000"/>
                <w:sz w:val="18"/>
                <w:szCs w:val="18"/>
                <w:lang w:eastAsia="en-GB"/>
              </w:rPr>
              <w:t>Insurance from fire</w:t>
            </w:r>
          </w:p>
        </w:tc>
        <w:tc>
          <w:tcPr>
            <w:tcW w:w="378" w:type="pct"/>
            <w:tcBorders>
              <w:top w:val="nil"/>
              <w:left w:val="nil"/>
              <w:bottom w:val="single" w:sz="4" w:space="0" w:color="auto"/>
              <w:right w:val="nil"/>
            </w:tcBorders>
            <w:vAlign w:val="center"/>
          </w:tcPr>
          <w:p w14:paraId="0D1961D1" w14:textId="77777777" w:rsidR="00995233" w:rsidRPr="00EC690A" w:rsidRDefault="00995233" w:rsidP="00C4197C">
            <w:pPr>
              <w:jc w:val="right"/>
              <w:rPr>
                <w:b/>
                <w:bCs/>
                <w:color w:val="000000"/>
                <w:sz w:val="18"/>
                <w:szCs w:val="18"/>
                <w:lang w:eastAsia="en-GB"/>
              </w:rPr>
            </w:pPr>
            <w:r>
              <w:rPr>
                <w:b/>
                <w:bCs/>
                <w:color w:val="000000"/>
                <w:sz w:val="18"/>
                <w:szCs w:val="18"/>
                <w:lang w:eastAsia="en-GB"/>
              </w:rPr>
              <w:t>Vehicle insurance</w:t>
            </w:r>
          </w:p>
        </w:tc>
        <w:tc>
          <w:tcPr>
            <w:tcW w:w="386" w:type="pct"/>
            <w:tcBorders>
              <w:top w:val="nil"/>
              <w:left w:val="nil"/>
              <w:bottom w:val="single" w:sz="4" w:space="0" w:color="auto"/>
              <w:right w:val="nil"/>
            </w:tcBorders>
            <w:shd w:val="clear" w:color="auto" w:fill="auto"/>
            <w:vAlign w:val="center"/>
            <w:hideMark/>
          </w:tcPr>
          <w:p w14:paraId="21CA52F6" w14:textId="77777777" w:rsidR="00995233" w:rsidRPr="00EC690A" w:rsidRDefault="00995233" w:rsidP="00C4197C">
            <w:pPr>
              <w:jc w:val="right"/>
              <w:rPr>
                <w:b/>
                <w:bCs/>
                <w:color w:val="000000"/>
                <w:sz w:val="18"/>
                <w:szCs w:val="18"/>
                <w:lang w:eastAsia="en-GB"/>
              </w:rPr>
            </w:pPr>
            <w:r>
              <w:rPr>
                <w:b/>
                <w:bCs/>
                <w:color w:val="000000"/>
                <w:sz w:val="18"/>
                <w:szCs w:val="18"/>
                <w:lang w:eastAsia="en-GB"/>
              </w:rPr>
              <w:t>Liability insurance</w:t>
            </w:r>
          </w:p>
        </w:tc>
        <w:tc>
          <w:tcPr>
            <w:tcW w:w="419" w:type="pct"/>
            <w:tcBorders>
              <w:top w:val="nil"/>
              <w:left w:val="nil"/>
              <w:bottom w:val="single" w:sz="4" w:space="0" w:color="auto"/>
              <w:right w:val="nil"/>
            </w:tcBorders>
            <w:shd w:val="clear" w:color="auto" w:fill="auto"/>
            <w:vAlign w:val="center"/>
            <w:hideMark/>
          </w:tcPr>
          <w:p w14:paraId="69DD7E82" w14:textId="77777777" w:rsidR="00995233" w:rsidRPr="00EC690A" w:rsidRDefault="00995233" w:rsidP="00C4197C">
            <w:pPr>
              <w:jc w:val="right"/>
              <w:rPr>
                <w:b/>
                <w:bCs/>
                <w:color w:val="000000"/>
                <w:sz w:val="18"/>
                <w:szCs w:val="18"/>
                <w:lang w:eastAsia="en-GB"/>
              </w:rPr>
            </w:pPr>
            <w:r>
              <w:rPr>
                <w:b/>
                <w:bCs/>
                <w:color w:val="000000"/>
                <w:sz w:val="18"/>
                <w:szCs w:val="18"/>
                <w:lang w:eastAsia="en-GB"/>
              </w:rPr>
              <w:t>Travel insurance</w:t>
            </w:r>
          </w:p>
        </w:tc>
        <w:tc>
          <w:tcPr>
            <w:tcW w:w="441" w:type="pct"/>
            <w:tcBorders>
              <w:top w:val="nil"/>
              <w:left w:val="nil"/>
              <w:bottom w:val="single" w:sz="4" w:space="0" w:color="auto"/>
              <w:right w:val="nil"/>
            </w:tcBorders>
            <w:shd w:val="clear" w:color="auto" w:fill="auto"/>
            <w:vAlign w:val="center"/>
            <w:hideMark/>
          </w:tcPr>
          <w:p w14:paraId="714B2494" w14:textId="77777777" w:rsidR="00995233" w:rsidRPr="00EC690A" w:rsidRDefault="00995233" w:rsidP="00C4197C">
            <w:pPr>
              <w:jc w:val="right"/>
              <w:rPr>
                <w:b/>
                <w:bCs/>
                <w:color w:val="000000"/>
                <w:sz w:val="18"/>
                <w:szCs w:val="18"/>
                <w:lang w:eastAsia="en-GB"/>
              </w:rPr>
            </w:pPr>
            <w:r>
              <w:rPr>
                <w:b/>
                <w:bCs/>
                <w:color w:val="000000"/>
                <w:sz w:val="18"/>
                <w:szCs w:val="18"/>
                <w:lang w:eastAsia="en-GB"/>
              </w:rPr>
              <w:t>Medical insurance</w:t>
            </w:r>
          </w:p>
        </w:tc>
        <w:tc>
          <w:tcPr>
            <w:tcW w:w="371" w:type="pct"/>
            <w:tcBorders>
              <w:top w:val="nil"/>
              <w:left w:val="nil"/>
              <w:bottom w:val="single" w:sz="4" w:space="0" w:color="auto"/>
              <w:right w:val="nil"/>
            </w:tcBorders>
            <w:shd w:val="clear" w:color="auto" w:fill="auto"/>
            <w:vAlign w:val="center"/>
            <w:hideMark/>
          </w:tcPr>
          <w:p w14:paraId="6AC73C6C" w14:textId="77777777" w:rsidR="00995233" w:rsidRPr="00EC690A" w:rsidRDefault="00995233" w:rsidP="00C4197C">
            <w:pPr>
              <w:jc w:val="right"/>
              <w:rPr>
                <w:b/>
                <w:bCs/>
                <w:color w:val="000000"/>
                <w:sz w:val="18"/>
                <w:szCs w:val="18"/>
                <w:lang w:eastAsia="en-GB"/>
              </w:rPr>
            </w:pPr>
            <w:r w:rsidRPr="00EC690A">
              <w:rPr>
                <w:b/>
                <w:bCs/>
                <w:color w:val="000000"/>
                <w:sz w:val="18"/>
                <w:szCs w:val="18"/>
                <w:lang w:eastAsia="en-GB"/>
              </w:rPr>
              <w:t>Other</w:t>
            </w:r>
            <w:r>
              <w:rPr>
                <w:b/>
                <w:bCs/>
                <w:color w:val="000000"/>
                <w:sz w:val="18"/>
                <w:szCs w:val="18"/>
                <w:lang w:eastAsia="en-GB"/>
              </w:rPr>
              <w:t xml:space="preserve"> insurance</w:t>
            </w:r>
          </w:p>
        </w:tc>
        <w:tc>
          <w:tcPr>
            <w:tcW w:w="437" w:type="pct"/>
            <w:tcBorders>
              <w:top w:val="nil"/>
              <w:left w:val="nil"/>
              <w:bottom w:val="single" w:sz="4" w:space="0" w:color="auto"/>
              <w:right w:val="nil"/>
            </w:tcBorders>
            <w:shd w:val="clear" w:color="auto" w:fill="auto"/>
            <w:vAlign w:val="center"/>
            <w:hideMark/>
          </w:tcPr>
          <w:p w14:paraId="7865E268" w14:textId="77777777" w:rsidR="00995233" w:rsidRPr="00EC690A" w:rsidRDefault="00995233" w:rsidP="00C4197C">
            <w:pPr>
              <w:jc w:val="right"/>
              <w:rPr>
                <w:b/>
                <w:bCs/>
                <w:color w:val="000000"/>
                <w:sz w:val="18"/>
                <w:szCs w:val="18"/>
                <w:lang w:eastAsia="en-GB"/>
              </w:rPr>
            </w:pPr>
            <w:r w:rsidRPr="00EC690A">
              <w:rPr>
                <w:b/>
                <w:bCs/>
                <w:color w:val="000000"/>
                <w:sz w:val="18"/>
                <w:szCs w:val="18"/>
                <w:lang w:eastAsia="en-GB"/>
              </w:rPr>
              <w:t>Total</w:t>
            </w:r>
          </w:p>
        </w:tc>
      </w:tr>
      <w:tr w:rsidR="00995233" w:rsidRPr="00EC690A" w14:paraId="48ECFAFE" w14:textId="77777777" w:rsidTr="007D3509">
        <w:trPr>
          <w:trHeight w:val="300"/>
        </w:trPr>
        <w:tc>
          <w:tcPr>
            <w:tcW w:w="2199" w:type="pct"/>
            <w:tcBorders>
              <w:top w:val="nil"/>
              <w:left w:val="nil"/>
              <w:bottom w:val="nil"/>
              <w:right w:val="nil"/>
            </w:tcBorders>
            <w:shd w:val="clear" w:color="auto" w:fill="auto"/>
            <w:noWrap/>
            <w:vAlign w:val="bottom"/>
            <w:hideMark/>
          </w:tcPr>
          <w:p w14:paraId="113D6047" w14:textId="77777777" w:rsidR="00995233" w:rsidRPr="00EC690A" w:rsidRDefault="00995233" w:rsidP="00C4197C">
            <w:pPr>
              <w:rPr>
                <w:color w:val="000000"/>
                <w:sz w:val="18"/>
                <w:szCs w:val="18"/>
                <w:lang w:eastAsia="en-GB"/>
              </w:rPr>
            </w:pPr>
            <w:r>
              <w:rPr>
                <w:color w:val="000000"/>
                <w:sz w:val="18"/>
                <w:szCs w:val="18"/>
                <w:lang w:eastAsia="en-GB"/>
              </w:rPr>
              <w:t>Gross written premiums (Note 31)</w:t>
            </w:r>
          </w:p>
        </w:tc>
        <w:tc>
          <w:tcPr>
            <w:tcW w:w="369" w:type="pct"/>
            <w:tcBorders>
              <w:top w:val="nil"/>
              <w:left w:val="nil"/>
              <w:bottom w:val="nil"/>
              <w:right w:val="nil"/>
            </w:tcBorders>
            <w:shd w:val="clear" w:color="auto" w:fill="auto"/>
            <w:noWrap/>
            <w:vAlign w:val="bottom"/>
          </w:tcPr>
          <w:p w14:paraId="7AA34AE6" w14:textId="173D566B" w:rsidR="00995233" w:rsidRPr="00EC690A" w:rsidRDefault="00995233" w:rsidP="00995233">
            <w:pPr>
              <w:jc w:val="right"/>
              <w:rPr>
                <w:color w:val="000000"/>
                <w:sz w:val="18"/>
                <w:szCs w:val="18"/>
                <w:lang w:eastAsia="en-GB"/>
              </w:rPr>
            </w:pPr>
            <w:r>
              <w:rPr>
                <w:color w:val="000000"/>
                <w:sz w:val="18"/>
                <w:szCs w:val="18"/>
                <w:lang w:eastAsia="en-GB"/>
              </w:rPr>
              <w:t>74,371</w:t>
            </w:r>
          </w:p>
        </w:tc>
        <w:tc>
          <w:tcPr>
            <w:tcW w:w="378" w:type="pct"/>
            <w:tcBorders>
              <w:top w:val="nil"/>
              <w:left w:val="nil"/>
              <w:bottom w:val="nil"/>
              <w:right w:val="nil"/>
            </w:tcBorders>
            <w:vAlign w:val="bottom"/>
          </w:tcPr>
          <w:p w14:paraId="657D41DA" w14:textId="2F896984" w:rsidR="00995233" w:rsidRPr="00EC690A" w:rsidRDefault="00995233" w:rsidP="00995233">
            <w:pPr>
              <w:jc w:val="right"/>
              <w:rPr>
                <w:color w:val="000000"/>
                <w:sz w:val="18"/>
                <w:szCs w:val="18"/>
              </w:rPr>
            </w:pPr>
            <w:r>
              <w:rPr>
                <w:color w:val="000000"/>
                <w:sz w:val="18"/>
                <w:szCs w:val="18"/>
              </w:rPr>
              <w:t>558,511</w:t>
            </w:r>
          </w:p>
        </w:tc>
        <w:tc>
          <w:tcPr>
            <w:tcW w:w="386" w:type="pct"/>
            <w:tcBorders>
              <w:top w:val="nil"/>
              <w:left w:val="nil"/>
              <w:bottom w:val="nil"/>
              <w:right w:val="nil"/>
            </w:tcBorders>
            <w:shd w:val="clear" w:color="auto" w:fill="auto"/>
            <w:noWrap/>
            <w:vAlign w:val="bottom"/>
          </w:tcPr>
          <w:p w14:paraId="11544268" w14:textId="02F7975D" w:rsidR="00995233" w:rsidRPr="00EC690A" w:rsidRDefault="00995233" w:rsidP="00995233">
            <w:pPr>
              <w:jc w:val="right"/>
              <w:rPr>
                <w:color w:val="000000"/>
                <w:sz w:val="18"/>
                <w:szCs w:val="18"/>
                <w:lang w:eastAsia="en-GB"/>
              </w:rPr>
            </w:pPr>
            <w:r>
              <w:rPr>
                <w:color w:val="000000"/>
                <w:sz w:val="18"/>
                <w:szCs w:val="18"/>
                <w:lang w:eastAsia="en-GB"/>
              </w:rPr>
              <w:t>78,196</w:t>
            </w:r>
          </w:p>
        </w:tc>
        <w:tc>
          <w:tcPr>
            <w:tcW w:w="419" w:type="pct"/>
            <w:tcBorders>
              <w:top w:val="nil"/>
              <w:left w:val="nil"/>
              <w:bottom w:val="nil"/>
              <w:right w:val="nil"/>
            </w:tcBorders>
            <w:shd w:val="clear" w:color="auto" w:fill="auto"/>
            <w:noWrap/>
            <w:vAlign w:val="bottom"/>
          </w:tcPr>
          <w:p w14:paraId="68844D12" w14:textId="78F6FDD6" w:rsidR="00995233" w:rsidRPr="00EC690A" w:rsidRDefault="00995233" w:rsidP="00995233">
            <w:pPr>
              <w:jc w:val="right"/>
              <w:rPr>
                <w:color w:val="000000"/>
                <w:sz w:val="18"/>
                <w:szCs w:val="18"/>
                <w:lang w:eastAsia="en-GB"/>
              </w:rPr>
            </w:pPr>
            <w:r>
              <w:rPr>
                <w:color w:val="000000"/>
                <w:sz w:val="18"/>
                <w:szCs w:val="18"/>
                <w:lang w:eastAsia="en-GB"/>
              </w:rPr>
              <w:t>64,353</w:t>
            </w:r>
          </w:p>
        </w:tc>
        <w:tc>
          <w:tcPr>
            <w:tcW w:w="441" w:type="pct"/>
            <w:tcBorders>
              <w:top w:val="nil"/>
              <w:left w:val="nil"/>
              <w:bottom w:val="nil"/>
              <w:right w:val="nil"/>
            </w:tcBorders>
            <w:shd w:val="clear" w:color="auto" w:fill="auto"/>
            <w:noWrap/>
            <w:vAlign w:val="bottom"/>
          </w:tcPr>
          <w:p w14:paraId="368D9BB5" w14:textId="4D721C3B" w:rsidR="00995233" w:rsidRPr="00EC690A" w:rsidRDefault="00995233" w:rsidP="00995233">
            <w:pPr>
              <w:jc w:val="right"/>
              <w:rPr>
                <w:color w:val="000000"/>
                <w:sz w:val="18"/>
                <w:szCs w:val="18"/>
                <w:lang w:eastAsia="en-GB"/>
              </w:rPr>
            </w:pPr>
            <w:r>
              <w:rPr>
                <w:color w:val="000000"/>
                <w:sz w:val="18"/>
                <w:szCs w:val="18"/>
                <w:lang w:eastAsia="en-GB"/>
              </w:rPr>
              <w:t>12,146,053</w:t>
            </w:r>
          </w:p>
        </w:tc>
        <w:tc>
          <w:tcPr>
            <w:tcW w:w="371" w:type="pct"/>
            <w:tcBorders>
              <w:top w:val="nil"/>
              <w:left w:val="nil"/>
              <w:bottom w:val="nil"/>
              <w:right w:val="nil"/>
            </w:tcBorders>
            <w:shd w:val="clear" w:color="auto" w:fill="auto"/>
            <w:noWrap/>
            <w:vAlign w:val="bottom"/>
          </w:tcPr>
          <w:p w14:paraId="719B455E" w14:textId="4B03B94F" w:rsidR="00995233" w:rsidRPr="00EC690A" w:rsidRDefault="00995233" w:rsidP="00995233">
            <w:pPr>
              <w:jc w:val="right"/>
              <w:rPr>
                <w:color w:val="000000"/>
                <w:sz w:val="18"/>
                <w:szCs w:val="18"/>
                <w:lang w:eastAsia="en-GB"/>
              </w:rPr>
            </w:pPr>
            <w:r>
              <w:rPr>
                <w:color w:val="000000"/>
                <w:sz w:val="18"/>
                <w:szCs w:val="18"/>
                <w:lang w:eastAsia="en-GB"/>
              </w:rPr>
              <w:t>18,243</w:t>
            </w:r>
          </w:p>
        </w:tc>
        <w:tc>
          <w:tcPr>
            <w:tcW w:w="437" w:type="pct"/>
            <w:tcBorders>
              <w:top w:val="nil"/>
              <w:left w:val="nil"/>
              <w:bottom w:val="nil"/>
              <w:right w:val="nil"/>
            </w:tcBorders>
            <w:shd w:val="clear" w:color="auto" w:fill="auto"/>
            <w:noWrap/>
            <w:vAlign w:val="bottom"/>
          </w:tcPr>
          <w:p w14:paraId="6CC12673" w14:textId="17C1F018" w:rsidR="00995233" w:rsidRPr="00EC690A" w:rsidRDefault="00995233" w:rsidP="00995233">
            <w:pPr>
              <w:jc w:val="right"/>
              <w:rPr>
                <w:b/>
                <w:bCs/>
                <w:color w:val="000000"/>
                <w:sz w:val="18"/>
                <w:szCs w:val="18"/>
                <w:lang w:eastAsia="en-GB"/>
              </w:rPr>
            </w:pPr>
            <w:r>
              <w:rPr>
                <w:b/>
                <w:bCs/>
                <w:color w:val="000000"/>
                <w:sz w:val="18"/>
                <w:szCs w:val="18"/>
                <w:lang w:eastAsia="en-GB"/>
              </w:rPr>
              <w:t>12,939,727</w:t>
            </w:r>
          </w:p>
        </w:tc>
      </w:tr>
      <w:tr w:rsidR="00995233" w:rsidRPr="00EC690A" w14:paraId="460436BC" w14:textId="77777777" w:rsidTr="007D3509">
        <w:trPr>
          <w:trHeight w:val="300"/>
        </w:trPr>
        <w:tc>
          <w:tcPr>
            <w:tcW w:w="2199" w:type="pct"/>
            <w:tcBorders>
              <w:top w:val="nil"/>
              <w:left w:val="nil"/>
              <w:bottom w:val="nil"/>
              <w:right w:val="nil"/>
            </w:tcBorders>
            <w:shd w:val="clear" w:color="auto" w:fill="auto"/>
            <w:noWrap/>
            <w:vAlign w:val="bottom"/>
            <w:hideMark/>
          </w:tcPr>
          <w:p w14:paraId="4665CDCC" w14:textId="77777777" w:rsidR="00995233" w:rsidRPr="00EC690A" w:rsidRDefault="00995233" w:rsidP="00C4197C">
            <w:pPr>
              <w:rPr>
                <w:color w:val="000000"/>
                <w:sz w:val="18"/>
                <w:szCs w:val="18"/>
                <w:lang w:eastAsia="en-GB"/>
              </w:rPr>
            </w:pPr>
            <w:r>
              <w:rPr>
                <w:color w:val="000000"/>
                <w:sz w:val="18"/>
                <w:szCs w:val="18"/>
                <w:lang w:eastAsia="en-GB"/>
              </w:rPr>
              <w:t>Premiums ceded to reinsurers</w:t>
            </w:r>
          </w:p>
        </w:tc>
        <w:tc>
          <w:tcPr>
            <w:tcW w:w="369" w:type="pct"/>
            <w:tcBorders>
              <w:top w:val="nil"/>
              <w:left w:val="nil"/>
              <w:bottom w:val="nil"/>
              <w:right w:val="nil"/>
            </w:tcBorders>
            <w:shd w:val="clear" w:color="auto" w:fill="auto"/>
            <w:noWrap/>
            <w:vAlign w:val="bottom"/>
          </w:tcPr>
          <w:p w14:paraId="4A94D7B0" w14:textId="493AD2D4" w:rsidR="00995233" w:rsidRPr="00EC690A" w:rsidRDefault="00995233" w:rsidP="00995233">
            <w:pPr>
              <w:jc w:val="right"/>
              <w:rPr>
                <w:color w:val="000000"/>
                <w:sz w:val="18"/>
                <w:szCs w:val="18"/>
                <w:lang w:eastAsia="en-GB"/>
              </w:rPr>
            </w:pPr>
            <w:r>
              <w:rPr>
                <w:color w:val="000000"/>
                <w:sz w:val="18"/>
                <w:szCs w:val="18"/>
                <w:lang w:eastAsia="en-GB"/>
              </w:rPr>
              <w:t>(71,818)</w:t>
            </w:r>
          </w:p>
        </w:tc>
        <w:tc>
          <w:tcPr>
            <w:tcW w:w="378" w:type="pct"/>
            <w:tcBorders>
              <w:top w:val="nil"/>
              <w:left w:val="nil"/>
              <w:bottom w:val="nil"/>
              <w:right w:val="nil"/>
            </w:tcBorders>
            <w:vAlign w:val="bottom"/>
          </w:tcPr>
          <w:p w14:paraId="4B2346D7" w14:textId="533EC547" w:rsidR="00995233" w:rsidRPr="00EC690A" w:rsidRDefault="00995233" w:rsidP="00995233">
            <w:pPr>
              <w:jc w:val="right"/>
              <w:rPr>
                <w:color w:val="000000"/>
                <w:sz w:val="18"/>
                <w:szCs w:val="18"/>
              </w:rPr>
            </w:pPr>
            <w:r>
              <w:rPr>
                <w:color w:val="000000"/>
                <w:sz w:val="18"/>
                <w:szCs w:val="18"/>
              </w:rPr>
              <w:t>(392,463)</w:t>
            </w:r>
          </w:p>
        </w:tc>
        <w:tc>
          <w:tcPr>
            <w:tcW w:w="386" w:type="pct"/>
            <w:tcBorders>
              <w:top w:val="nil"/>
              <w:left w:val="nil"/>
              <w:bottom w:val="nil"/>
              <w:right w:val="nil"/>
            </w:tcBorders>
            <w:shd w:val="clear" w:color="auto" w:fill="auto"/>
            <w:noWrap/>
            <w:vAlign w:val="bottom"/>
          </w:tcPr>
          <w:p w14:paraId="23618006" w14:textId="4D478A4F" w:rsidR="00995233" w:rsidRPr="00EC690A" w:rsidRDefault="00995233" w:rsidP="00995233">
            <w:pPr>
              <w:jc w:val="right"/>
              <w:rPr>
                <w:color w:val="000000"/>
                <w:sz w:val="18"/>
                <w:szCs w:val="18"/>
                <w:lang w:eastAsia="en-GB"/>
              </w:rPr>
            </w:pPr>
            <w:r>
              <w:rPr>
                <w:color w:val="000000"/>
                <w:sz w:val="18"/>
                <w:szCs w:val="18"/>
                <w:lang w:eastAsia="en-GB"/>
              </w:rPr>
              <w:t>(55,247)</w:t>
            </w:r>
          </w:p>
        </w:tc>
        <w:tc>
          <w:tcPr>
            <w:tcW w:w="419" w:type="pct"/>
            <w:tcBorders>
              <w:top w:val="nil"/>
              <w:left w:val="nil"/>
              <w:bottom w:val="nil"/>
              <w:right w:val="nil"/>
            </w:tcBorders>
            <w:shd w:val="clear" w:color="auto" w:fill="auto"/>
            <w:noWrap/>
            <w:vAlign w:val="bottom"/>
          </w:tcPr>
          <w:p w14:paraId="6E791874" w14:textId="5FBA4B2F" w:rsidR="00995233" w:rsidRPr="00EC690A" w:rsidRDefault="00995233" w:rsidP="00995233">
            <w:pPr>
              <w:jc w:val="right"/>
              <w:rPr>
                <w:color w:val="000000"/>
                <w:sz w:val="18"/>
                <w:szCs w:val="18"/>
                <w:lang w:eastAsia="en-GB"/>
              </w:rPr>
            </w:pPr>
            <w:r>
              <w:rPr>
                <w:color w:val="000000"/>
                <w:sz w:val="18"/>
                <w:szCs w:val="18"/>
                <w:lang w:eastAsia="en-GB"/>
              </w:rPr>
              <w:t>(15,541)</w:t>
            </w:r>
          </w:p>
        </w:tc>
        <w:tc>
          <w:tcPr>
            <w:tcW w:w="441" w:type="pct"/>
            <w:tcBorders>
              <w:top w:val="nil"/>
              <w:left w:val="nil"/>
              <w:bottom w:val="nil"/>
              <w:right w:val="nil"/>
            </w:tcBorders>
            <w:shd w:val="clear" w:color="auto" w:fill="auto"/>
            <w:noWrap/>
            <w:vAlign w:val="bottom"/>
          </w:tcPr>
          <w:p w14:paraId="36AC15C6" w14:textId="12A3A50B" w:rsidR="00995233" w:rsidRPr="00EC690A" w:rsidRDefault="00995233" w:rsidP="00995233">
            <w:pPr>
              <w:jc w:val="right"/>
              <w:rPr>
                <w:color w:val="000000"/>
                <w:sz w:val="18"/>
                <w:szCs w:val="18"/>
                <w:lang w:eastAsia="en-GB"/>
              </w:rPr>
            </w:pPr>
            <w:r>
              <w:rPr>
                <w:color w:val="000000"/>
                <w:sz w:val="18"/>
                <w:szCs w:val="18"/>
                <w:lang w:eastAsia="en-GB"/>
              </w:rPr>
              <w:t>(512,135)</w:t>
            </w:r>
          </w:p>
        </w:tc>
        <w:tc>
          <w:tcPr>
            <w:tcW w:w="371" w:type="pct"/>
            <w:tcBorders>
              <w:top w:val="nil"/>
              <w:left w:val="nil"/>
              <w:bottom w:val="nil"/>
              <w:right w:val="nil"/>
            </w:tcBorders>
            <w:shd w:val="clear" w:color="auto" w:fill="auto"/>
            <w:noWrap/>
            <w:vAlign w:val="bottom"/>
          </w:tcPr>
          <w:p w14:paraId="02CC1BAF" w14:textId="0FCA8D43" w:rsidR="00995233" w:rsidRPr="00EC690A" w:rsidRDefault="00995233" w:rsidP="00995233">
            <w:pPr>
              <w:jc w:val="right"/>
              <w:rPr>
                <w:color w:val="000000"/>
                <w:sz w:val="18"/>
                <w:szCs w:val="18"/>
                <w:lang w:eastAsia="en-GB"/>
              </w:rPr>
            </w:pPr>
            <w:r>
              <w:rPr>
                <w:color w:val="000000"/>
                <w:sz w:val="18"/>
                <w:szCs w:val="18"/>
                <w:lang w:eastAsia="en-GB"/>
              </w:rPr>
              <w:t>(11,669)</w:t>
            </w:r>
          </w:p>
        </w:tc>
        <w:tc>
          <w:tcPr>
            <w:tcW w:w="437" w:type="pct"/>
            <w:tcBorders>
              <w:top w:val="nil"/>
              <w:left w:val="nil"/>
              <w:bottom w:val="nil"/>
              <w:right w:val="nil"/>
            </w:tcBorders>
            <w:shd w:val="clear" w:color="auto" w:fill="auto"/>
            <w:noWrap/>
            <w:vAlign w:val="bottom"/>
          </w:tcPr>
          <w:p w14:paraId="6B4EB860" w14:textId="3FDBEC1E" w:rsidR="00995233" w:rsidRPr="00EC690A" w:rsidRDefault="00995233" w:rsidP="00995233">
            <w:pPr>
              <w:jc w:val="right"/>
              <w:rPr>
                <w:b/>
                <w:bCs/>
                <w:color w:val="000000"/>
                <w:sz w:val="18"/>
                <w:szCs w:val="18"/>
                <w:lang w:eastAsia="en-GB"/>
              </w:rPr>
            </w:pPr>
            <w:r>
              <w:rPr>
                <w:b/>
                <w:bCs/>
                <w:color w:val="000000"/>
                <w:sz w:val="18"/>
                <w:szCs w:val="18"/>
                <w:lang w:eastAsia="en-GB"/>
              </w:rPr>
              <w:t>(1,058,873)</w:t>
            </w:r>
          </w:p>
        </w:tc>
      </w:tr>
      <w:tr w:rsidR="007D3509" w:rsidRPr="00EC690A" w14:paraId="0E265074" w14:textId="77777777" w:rsidTr="007D3509">
        <w:trPr>
          <w:trHeight w:val="300"/>
        </w:trPr>
        <w:tc>
          <w:tcPr>
            <w:tcW w:w="2199" w:type="pct"/>
            <w:tcBorders>
              <w:top w:val="single" w:sz="4" w:space="0" w:color="auto"/>
              <w:left w:val="nil"/>
              <w:bottom w:val="single" w:sz="4" w:space="0" w:color="auto"/>
              <w:right w:val="nil"/>
            </w:tcBorders>
            <w:shd w:val="clear" w:color="auto" w:fill="auto"/>
            <w:noWrap/>
            <w:vAlign w:val="bottom"/>
            <w:hideMark/>
          </w:tcPr>
          <w:p w14:paraId="2AB49E71" w14:textId="77777777" w:rsidR="00995233" w:rsidRPr="00EC690A" w:rsidRDefault="00995233" w:rsidP="00C4197C">
            <w:pPr>
              <w:rPr>
                <w:b/>
                <w:bCs/>
                <w:color w:val="000000"/>
                <w:sz w:val="18"/>
                <w:szCs w:val="18"/>
                <w:lang w:eastAsia="en-GB"/>
              </w:rPr>
            </w:pPr>
            <w:r>
              <w:rPr>
                <w:b/>
                <w:bCs/>
                <w:color w:val="000000"/>
                <w:sz w:val="18"/>
                <w:szCs w:val="18"/>
                <w:lang w:eastAsia="en-GB"/>
              </w:rPr>
              <w:t>Net written premiums</w:t>
            </w:r>
          </w:p>
        </w:tc>
        <w:tc>
          <w:tcPr>
            <w:tcW w:w="369" w:type="pct"/>
            <w:tcBorders>
              <w:top w:val="single" w:sz="4" w:space="0" w:color="auto"/>
              <w:left w:val="nil"/>
              <w:bottom w:val="single" w:sz="4" w:space="0" w:color="auto"/>
              <w:right w:val="nil"/>
            </w:tcBorders>
            <w:shd w:val="clear" w:color="auto" w:fill="auto"/>
            <w:noWrap/>
            <w:vAlign w:val="bottom"/>
          </w:tcPr>
          <w:p w14:paraId="6E2F2E37" w14:textId="751BFC0C" w:rsidR="00995233" w:rsidRPr="00EC690A" w:rsidRDefault="00995233" w:rsidP="00995233">
            <w:pPr>
              <w:jc w:val="right"/>
              <w:rPr>
                <w:b/>
                <w:bCs/>
                <w:color w:val="000000"/>
                <w:sz w:val="18"/>
                <w:szCs w:val="18"/>
                <w:lang w:eastAsia="en-GB"/>
              </w:rPr>
            </w:pPr>
            <w:r>
              <w:rPr>
                <w:b/>
                <w:bCs/>
                <w:color w:val="000000"/>
                <w:sz w:val="18"/>
                <w:szCs w:val="18"/>
                <w:lang w:eastAsia="en-GB"/>
              </w:rPr>
              <w:t>2,553</w:t>
            </w:r>
          </w:p>
        </w:tc>
        <w:tc>
          <w:tcPr>
            <w:tcW w:w="378" w:type="pct"/>
            <w:tcBorders>
              <w:top w:val="single" w:sz="4" w:space="0" w:color="auto"/>
              <w:left w:val="nil"/>
              <w:bottom w:val="single" w:sz="4" w:space="0" w:color="auto"/>
              <w:right w:val="nil"/>
            </w:tcBorders>
            <w:vAlign w:val="bottom"/>
          </w:tcPr>
          <w:p w14:paraId="230CD3AA" w14:textId="45CA0B90" w:rsidR="00995233" w:rsidRPr="00EC690A" w:rsidRDefault="00995233" w:rsidP="00995233">
            <w:pPr>
              <w:jc w:val="right"/>
              <w:rPr>
                <w:b/>
                <w:bCs/>
                <w:color w:val="000000"/>
                <w:sz w:val="18"/>
                <w:szCs w:val="18"/>
              </w:rPr>
            </w:pPr>
            <w:r>
              <w:rPr>
                <w:b/>
                <w:bCs/>
                <w:color w:val="000000"/>
                <w:sz w:val="18"/>
                <w:szCs w:val="18"/>
              </w:rPr>
              <w:t>166,048</w:t>
            </w:r>
          </w:p>
        </w:tc>
        <w:tc>
          <w:tcPr>
            <w:tcW w:w="386" w:type="pct"/>
            <w:tcBorders>
              <w:top w:val="single" w:sz="4" w:space="0" w:color="auto"/>
              <w:left w:val="nil"/>
              <w:bottom w:val="single" w:sz="4" w:space="0" w:color="auto"/>
              <w:right w:val="nil"/>
            </w:tcBorders>
            <w:shd w:val="clear" w:color="auto" w:fill="auto"/>
            <w:noWrap/>
            <w:vAlign w:val="bottom"/>
          </w:tcPr>
          <w:p w14:paraId="3E20F8F3" w14:textId="4DCE3256" w:rsidR="00995233" w:rsidRPr="00EC690A" w:rsidRDefault="00995233" w:rsidP="00995233">
            <w:pPr>
              <w:jc w:val="right"/>
              <w:rPr>
                <w:b/>
                <w:bCs/>
                <w:color w:val="000000"/>
                <w:sz w:val="18"/>
                <w:szCs w:val="18"/>
                <w:lang w:eastAsia="en-GB"/>
              </w:rPr>
            </w:pPr>
            <w:r>
              <w:rPr>
                <w:b/>
                <w:bCs/>
                <w:color w:val="000000"/>
                <w:sz w:val="18"/>
                <w:szCs w:val="18"/>
                <w:lang w:eastAsia="en-GB"/>
              </w:rPr>
              <w:t>22,949</w:t>
            </w:r>
          </w:p>
        </w:tc>
        <w:tc>
          <w:tcPr>
            <w:tcW w:w="419" w:type="pct"/>
            <w:tcBorders>
              <w:top w:val="single" w:sz="4" w:space="0" w:color="auto"/>
              <w:left w:val="nil"/>
              <w:bottom w:val="single" w:sz="4" w:space="0" w:color="auto"/>
              <w:right w:val="nil"/>
            </w:tcBorders>
            <w:shd w:val="clear" w:color="auto" w:fill="auto"/>
            <w:noWrap/>
            <w:vAlign w:val="bottom"/>
          </w:tcPr>
          <w:p w14:paraId="11FB541A" w14:textId="7043699A" w:rsidR="00995233" w:rsidRPr="00EC690A" w:rsidRDefault="00995233" w:rsidP="00995233">
            <w:pPr>
              <w:jc w:val="right"/>
              <w:rPr>
                <w:b/>
                <w:bCs/>
                <w:color w:val="000000"/>
                <w:sz w:val="18"/>
                <w:szCs w:val="18"/>
                <w:lang w:eastAsia="en-GB"/>
              </w:rPr>
            </w:pPr>
            <w:r>
              <w:rPr>
                <w:b/>
                <w:bCs/>
                <w:color w:val="000000"/>
                <w:sz w:val="18"/>
                <w:szCs w:val="18"/>
                <w:lang w:eastAsia="en-GB"/>
              </w:rPr>
              <w:t>48,812</w:t>
            </w:r>
          </w:p>
        </w:tc>
        <w:tc>
          <w:tcPr>
            <w:tcW w:w="441" w:type="pct"/>
            <w:tcBorders>
              <w:top w:val="single" w:sz="4" w:space="0" w:color="auto"/>
              <w:left w:val="nil"/>
              <w:bottom w:val="single" w:sz="4" w:space="0" w:color="auto"/>
              <w:right w:val="nil"/>
            </w:tcBorders>
            <w:shd w:val="clear" w:color="auto" w:fill="auto"/>
            <w:noWrap/>
            <w:vAlign w:val="bottom"/>
          </w:tcPr>
          <w:p w14:paraId="71D62A68" w14:textId="5203F429" w:rsidR="00995233" w:rsidRPr="00EC690A" w:rsidRDefault="00995233" w:rsidP="00995233">
            <w:pPr>
              <w:jc w:val="right"/>
              <w:rPr>
                <w:b/>
                <w:bCs/>
                <w:color w:val="000000"/>
                <w:sz w:val="18"/>
                <w:szCs w:val="18"/>
                <w:lang w:eastAsia="en-GB"/>
              </w:rPr>
            </w:pPr>
            <w:r>
              <w:rPr>
                <w:b/>
                <w:bCs/>
                <w:color w:val="000000"/>
                <w:sz w:val="18"/>
                <w:szCs w:val="18"/>
                <w:lang w:eastAsia="en-GB"/>
              </w:rPr>
              <w:t>11,663,918</w:t>
            </w:r>
          </w:p>
        </w:tc>
        <w:tc>
          <w:tcPr>
            <w:tcW w:w="371" w:type="pct"/>
            <w:tcBorders>
              <w:top w:val="single" w:sz="4" w:space="0" w:color="auto"/>
              <w:left w:val="nil"/>
              <w:bottom w:val="single" w:sz="4" w:space="0" w:color="auto"/>
              <w:right w:val="nil"/>
            </w:tcBorders>
            <w:shd w:val="clear" w:color="auto" w:fill="auto"/>
            <w:noWrap/>
            <w:vAlign w:val="bottom"/>
          </w:tcPr>
          <w:p w14:paraId="4025C421" w14:textId="5A434C04" w:rsidR="00995233" w:rsidRPr="00EC690A" w:rsidRDefault="00995233" w:rsidP="00995233">
            <w:pPr>
              <w:jc w:val="right"/>
              <w:rPr>
                <w:b/>
                <w:bCs/>
                <w:color w:val="000000"/>
                <w:sz w:val="18"/>
                <w:szCs w:val="18"/>
                <w:lang w:eastAsia="en-GB"/>
              </w:rPr>
            </w:pPr>
            <w:r>
              <w:rPr>
                <w:b/>
                <w:bCs/>
                <w:color w:val="000000"/>
                <w:sz w:val="18"/>
                <w:szCs w:val="18"/>
                <w:lang w:eastAsia="en-GB"/>
              </w:rPr>
              <w:t>6,574</w:t>
            </w:r>
          </w:p>
        </w:tc>
        <w:tc>
          <w:tcPr>
            <w:tcW w:w="437" w:type="pct"/>
            <w:tcBorders>
              <w:top w:val="single" w:sz="4" w:space="0" w:color="auto"/>
              <w:left w:val="nil"/>
              <w:bottom w:val="single" w:sz="4" w:space="0" w:color="auto"/>
              <w:right w:val="nil"/>
            </w:tcBorders>
            <w:shd w:val="clear" w:color="auto" w:fill="auto"/>
            <w:noWrap/>
            <w:vAlign w:val="bottom"/>
          </w:tcPr>
          <w:p w14:paraId="03E1F2A5" w14:textId="5994C42F" w:rsidR="00995233" w:rsidRPr="00EC690A" w:rsidRDefault="00995233" w:rsidP="00995233">
            <w:pPr>
              <w:jc w:val="right"/>
              <w:rPr>
                <w:b/>
                <w:bCs/>
                <w:color w:val="000000"/>
                <w:sz w:val="18"/>
                <w:szCs w:val="18"/>
                <w:lang w:eastAsia="en-GB"/>
              </w:rPr>
            </w:pPr>
            <w:r>
              <w:rPr>
                <w:b/>
                <w:bCs/>
                <w:color w:val="000000"/>
                <w:sz w:val="18"/>
                <w:szCs w:val="18"/>
                <w:lang w:eastAsia="en-GB"/>
              </w:rPr>
              <w:t>11,880,854</w:t>
            </w:r>
          </w:p>
        </w:tc>
      </w:tr>
      <w:tr w:rsidR="007D3509" w:rsidRPr="00EC690A" w14:paraId="757FD288" w14:textId="77777777" w:rsidTr="007D3509">
        <w:trPr>
          <w:trHeight w:val="489"/>
        </w:trPr>
        <w:tc>
          <w:tcPr>
            <w:tcW w:w="2199" w:type="pct"/>
            <w:tcBorders>
              <w:top w:val="single" w:sz="4" w:space="0" w:color="auto"/>
              <w:left w:val="nil"/>
              <w:bottom w:val="single" w:sz="4" w:space="0" w:color="auto"/>
              <w:right w:val="nil"/>
            </w:tcBorders>
            <w:shd w:val="clear" w:color="auto" w:fill="auto"/>
            <w:noWrap/>
            <w:vAlign w:val="bottom"/>
            <w:hideMark/>
          </w:tcPr>
          <w:p w14:paraId="6EE92191" w14:textId="1CF45ED3" w:rsidR="00995233" w:rsidRPr="00EC690A" w:rsidRDefault="00995233" w:rsidP="00C4197C">
            <w:pPr>
              <w:rPr>
                <w:color w:val="000000"/>
                <w:sz w:val="18"/>
                <w:szCs w:val="18"/>
                <w:lang w:eastAsia="en-GB"/>
              </w:rPr>
            </w:pPr>
            <w:r>
              <w:rPr>
                <w:color w:val="000000"/>
                <w:sz w:val="18"/>
                <w:szCs w:val="18"/>
                <w:lang w:eastAsia="en-GB"/>
              </w:rPr>
              <w:t>Change in provision for unearned premiums, net of reinsurance (Note 1</w:t>
            </w:r>
            <w:r w:rsidR="00A82E69" w:rsidRPr="00A82E69">
              <w:rPr>
                <w:color w:val="000000"/>
                <w:sz w:val="18"/>
                <w:szCs w:val="18"/>
                <w:lang w:eastAsia="en-GB"/>
              </w:rPr>
              <w:t>7</w:t>
            </w:r>
            <w:r>
              <w:rPr>
                <w:color w:val="000000"/>
                <w:sz w:val="18"/>
                <w:szCs w:val="18"/>
                <w:lang w:eastAsia="en-GB"/>
              </w:rPr>
              <w:t>)</w:t>
            </w:r>
          </w:p>
        </w:tc>
        <w:tc>
          <w:tcPr>
            <w:tcW w:w="369" w:type="pct"/>
            <w:tcBorders>
              <w:top w:val="single" w:sz="4" w:space="0" w:color="auto"/>
              <w:left w:val="nil"/>
              <w:bottom w:val="single" w:sz="4" w:space="0" w:color="auto"/>
              <w:right w:val="nil"/>
            </w:tcBorders>
            <w:shd w:val="clear" w:color="auto" w:fill="auto"/>
            <w:noWrap/>
            <w:vAlign w:val="bottom"/>
            <w:hideMark/>
          </w:tcPr>
          <w:p w14:paraId="00B9B70F" w14:textId="31139E09" w:rsidR="00995233" w:rsidRPr="00EC690A" w:rsidRDefault="00995233" w:rsidP="00995233">
            <w:pPr>
              <w:jc w:val="right"/>
              <w:rPr>
                <w:color w:val="000000"/>
                <w:sz w:val="18"/>
                <w:szCs w:val="18"/>
                <w:lang w:eastAsia="en-GB"/>
              </w:rPr>
            </w:pPr>
            <w:r>
              <w:rPr>
                <w:color w:val="000000"/>
                <w:sz w:val="18"/>
                <w:szCs w:val="18"/>
                <w:lang w:eastAsia="en-GB"/>
              </w:rPr>
              <w:t>19,091</w:t>
            </w:r>
          </w:p>
        </w:tc>
        <w:tc>
          <w:tcPr>
            <w:tcW w:w="378" w:type="pct"/>
            <w:tcBorders>
              <w:top w:val="single" w:sz="4" w:space="0" w:color="auto"/>
              <w:left w:val="nil"/>
              <w:bottom w:val="single" w:sz="4" w:space="0" w:color="auto"/>
              <w:right w:val="nil"/>
            </w:tcBorders>
            <w:vAlign w:val="bottom"/>
          </w:tcPr>
          <w:p w14:paraId="6FB065D5" w14:textId="5AEDD5C2" w:rsidR="00995233" w:rsidRPr="00EC690A" w:rsidRDefault="00995233" w:rsidP="00995233">
            <w:pPr>
              <w:jc w:val="right"/>
              <w:rPr>
                <w:color w:val="000000"/>
                <w:sz w:val="18"/>
                <w:szCs w:val="18"/>
                <w:lang w:eastAsia="en-GB"/>
              </w:rPr>
            </w:pPr>
            <w:r>
              <w:rPr>
                <w:color w:val="000000"/>
                <w:sz w:val="18"/>
                <w:szCs w:val="18"/>
                <w:lang w:eastAsia="en-GB"/>
              </w:rPr>
              <w:t>(66,611)</w:t>
            </w:r>
          </w:p>
        </w:tc>
        <w:tc>
          <w:tcPr>
            <w:tcW w:w="386" w:type="pct"/>
            <w:tcBorders>
              <w:top w:val="single" w:sz="4" w:space="0" w:color="auto"/>
              <w:left w:val="nil"/>
              <w:bottom w:val="single" w:sz="4" w:space="0" w:color="auto"/>
              <w:right w:val="nil"/>
            </w:tcBorders>
            <w:shd w:val="clear" w:color="auto" w:fill="auto"/>
            <w:noWrap/>
            <w:vAlign w:val="bottom"/>
            <w:hideMark/>
          </w:tcPr>
          <w:p w14:paraId="5D3F7CBD" w14:textId="4615D1FF" w:rsidR="00995233" w:rsidRPr="00EC690A" w:rsidRDefault="00995233" w:rsidP="00995233">
            <w:pPr>
              <w:jc w:val="right"/>
              <w:rPr>
                <w:color w:val="000000"/>
                <w:sz w:val="18"/>
                <w:szCs w:val="18"/>
                <w:lang w:eastAsia="en-GB"/>
              </w:rPr>
            </w:pPr>
            <w:r>
              <w:rPr>
                <w:color w:val="000000"/>
                <w:sz w:val="18"/>
                <w:szCs w:val="18"/>
                <w:lang w:eastAsia="en-GB"/>
              </w:rPr>
              <w:t>(6,780)</w:t>
            </w:r>
          </w:p>
        </w:tc>
        <w:tc>
          <w:tcPr>
            <w:tcW w:w="419" w:type="pct"/>
            <w:tcBorders>
              <w:top w:val="single" w:sz="4" w:space="0" w:color="auto"/>
              <w:left w:val="nil"/>
              <w:bottom w:val="single" w:sz="4" w:space="0" w:color="auto"/>
              <w:right w:val="nil"/>
            </w:tcBorders>
            <w:shd w:val="clear" w:color="auto" w:fill="auto"/>
            <w:noWrap/>
            <w:vAlign w:val="bottom"/>
            <w:hideMark/>
          </w:tcPr>
          <w:p w14:paraId="67A1344D" w14:textId="5D7707C1" w:rsidR="00995233" w:rsidRPr="00EC690A" w:rsidRDefault="00995233" w:rsidP="00995233">
            <w:pPr>
              <w:jc w:val="right"/>
              <w:rPr>
                <w:color w:val="000000"/>
                <w:sz w:val="18"/>
                <w:szCs w:val="18"/>
                <w:lang w:eastAsia="en-GB"/>
              </w:rPr>
            </w:pPr>
            <w:r>
              <w:rPr>
                <w:color w:val="000000"/>
                <w:sz w:val="18"/>
                <w:szCs w:val="18"/>
                <w:lang w:eastAsia="en-GB"/>
              </w:rPr>
              <w:t>945</w:t>
            </w:r>
          </w:p>
        </w:tc>
        <w:tc>
          <w:tcPr>
            <w:tcW w:w="441" w:type="pct"/>
            <w:tcBorders>
              <w:top w:val="single" w:sz="4" w:space="0" w:color="auto"/>
              <w:left w:val="nil"/>
              <w:bottom w:val="single" w:sz="4" w:space="0" w:color="auto"/>
              <w:right w:val="nil"/>
            </w:tcBorders>
            <w:shd w:val="clear" w:color="auto" w:fill="auto"/>
            <w:noWrap/>
            <w:vAlign w:val="bottom"/>
            <w:hideMark/>
          </w:tcPr>
          <w:p w14:paraId="2E605F6A" w14:textId="1FA9B7D4" w:rsidR="00995233" w:rsidRPr="00EC690A" w:rsidRDefault="00995233" w:rsidP="00995233">
            <w:pPr>
              <w:jc w:val="right"/>
              <w:rPr>
                <w:color w:val="000000"/>
                <w:sz w:val="18"/>
                <w:szCs w:val="18"/>
                <w:lang w:eastAsia="en-GB"/>
              </w:rPr>
            </w:pPr>
            <w:r>
              <w:rPr>
                <w:color w:val="000000"/>
                <w:sz w:val="18"/>
                <w:szCs w:val="18"/>
                <w:lang w:eastAsia="en-GB"/>
              </w:rPr>
              <w:t>153,671</w:t>
            </w:r>
          </w:p>
        </w:tc>
        <w:tc>
          <w:tcPr>
            <w:tcW w:w="371" w:type="pct"/>
            <w:tcBorders>
              <w:top w:val="single" w:sz="4" w:space="0" w:color="auto"/>
              <w:left w:val="nil"/>
              <w:bottom w:val="single" w:sz="4" w:space="0" w:color="auto"/>
              <w:right w:val="nil"/>
            </w:tcBorders>
            <w:shd w:val="clear" w:color="auto" w:fill="auto"/>
            <w:noWrap/>
            <w:vAlign w:val="bottom"/>
            <w:hideMark/>
          </w:tcPr>
          <w:p w14:paraId="42393F7F" w14:textId="639C1D4E" w:rsidR="00995233" w:rsidRPr="00EC690A" w:rsidRDefault="00995233" w:rsidP="00995233">
            <w:pPr>
              <w:jc w:val="right"/>
              <w:rPr>
                <w:color w:val="000000"/>
                <w:sz w:val="18"/>
                <w:szCs w:val="18"/>
                <w:lang w:eastAsia="en-GB"/>
              </w:rPr>
            </w:pPr>
            <w:r>
              <w:rPr>
                <w:color w:val="000000"/>
                <w:sz w:val="18"/>
                <w:szCs w:val="18"/>
                <w:lang w:eastAsia="en-GB"/>
              </w:rPr>
              <w:t>(675)</w:t>
            </w:r>
          </w:p>
        </w:tc>
        <w:tc>
          <w:tcPr>
            <w:tcW w:w="437" w:type="pct"/>
            <w:tcBorders>
              <w:top w:val="single" w:sz="4" w:space="0" w:color="auto"/>
              <w:left w:val="nil"/>
              <w:bottom w:val="single" w:sz="4" w:space="0" w:color="auto"/>
              <w:right w:val="nil"/>
            </w:tcBorders>
            <w:shd w:val="clear" w:color="auto" w:fill="auto"/>
            <w:noWrap/>
            <w:vAlign w:val="bottom"/>
            <w:hideMark/>
          </w:tcPr>
          <w:p w14:paraId="2945CABF" w14:textId="3A73CE07" w:rsidR="00995233" w:rsidRPr="00EC690A" w:rsidRDefault="00995233" w:rsidP="00995233">
            <w:pPr>
              <w:jc w:val="right"/>
              <w:rPr>
                <w:b/>
                <w:bCs/>
                <w:color w:val="000000"/>
                <w:sz w:val="18"/>
                <w:szCs w:val="18"/>
                <w:lang w:eastAsia="en-GB"/>
              </w:rPr>
            </w:pPr>
            <w:r>
              <w:rPr>
                <w:b/>
                <w:bCs/>
                <w:color w:val="000000"/>
                <w:sz w:val="18"/>
                <w:szCs w:val="18"/>
                <w:lang w:eastAsia="en-GB"/>
              </w:rPr>
              <w:t>99,641</w:t>
            </w:r>
          </w:p>
        </w:tc>
      </w:tr>
      <w:tr w:rsidR="00995233" w:rsidRPr="00EC690A" w14:paraId="15DF39F0" w14:textId="77777777" w:rsidTr="007D3509">
        <w:trPr>
          <w:trHeight w:val="420"/>
        </w:trPr>
        <w:tc>
          <w:tcPr>
            <w:tcW w:w="2199" w:type="pct"/>
            <w:tcBorders>
              <w:top w:val="single" w:sz="4" w:space="0" w:color="auto"/>
              <w:left w:val="nil"/>
              <w:bottom w:val="double" w:sz="4" w:space="0" w:color="auto"/>
              <w:right w:val="nil"/>
            </w:tcBorders>
            <w:shd w:val="clear" w:color="auto" w:fill="auto"/>
            <w:noWrap/>
            <w:vAlign w:val="bottom"/>
            <w:hideMark/>
          </w:tcPr>
          <w:p w14:paraId="43BCA0BE" w14:textId="77777777" w:rsidR="00995233" w:rsidRPr="00EC690A" w:rsidRDefault="00995233" w:rsidP="00C4197C">
            <w:pPr>
              <w:rPr>
                <w:b/>
                <w:bCs/>
                <w:color w:val="000000"/>
                <w:sz w:val="18"/>
                <w:szCs w:val="18"/>
                <w:lang w:eastAsia="en-GB"/>
              </w:rPr>
            </w:pPr>
            <w:r>
              <w:rPr>
                <w:b/>
                <w:bCs/>
                <w:color w:val="000000"/>
                <w:sz w:val="18"/>
                <w:szCs w:val="18"/>
                <w:lang w:eastAsia="en-GB"/>
              </w:rPr>
              <w:t>Premiums earned, net of reinsurance</w:t>
            </w:r>
          </w:p>
        </w:tc>
        <w:tc>
          <w:tcPr>
            <w:tcW w:w="369" w:type="pct"/>
            <w:tcBorders>
              <w:top w:val="single" w:sz="4" w:space="0" w:color="auto"/>
              <w:left w:val="nil"/>
              <w:bottom w:val="double" w:sz="4" w:space="0" w:color="auto"/>
              <w:right w:val="nil"/>
            </w:tcBorders>
            <w:shd w:val="clear" w:color="auto" w:fill="auto"/>
            <w:noWrap/>
            <w:vAlign w:val="bottom"/>
            <w:hideMark/>
          </w:tcPr>
          <w:p w14:paraId="366F843F" w14:textId="77946AD1" w:rsidR="00995233" w:rsidRPr="00995233" w:rsidRDefault="00995233" w:rsidP="00995233">
            <w:pPr>
              <w:jc w:val="right"/>
              <w:rPr>
                <w:b/>
                <w:bCs/>
                <w:color w:val="000000"/>
                <w:sz w:val="18"/>
                <w:szCs w:val="18"/>
                <w:lang w:eastAsia="en-GB"/>
              </w:rPr>
            </w:pPr>
            <w:r w:rsidRPr="00995233">
              <w:rPr>
                <w:b/>
                <w:bCs/>
                <w:color w:val="000000"/>
                <w:sz w:val="18"/>
                <w:szCs w:val="18"/>
                <w:lang w:eastAsia="en-GB"/>
              </w:rPr>
              <w:t>21,644</w:t>
            </w:r>
          </w:p>
        </w:tc>
        <w:tc>
          <w:tcPr>
            <w:tcW w:w="378" w:type="pct"/>
            <w:tcBorders>
              <w:top w:val="single" w:sz="4" w:space="0" w:color="auto"/>
              <w:left w:val="nil"/>
              <w:bottom w:val="double" w:sz="4" w:space="0" w:color="auto"/>
              <w:right w:val="nil"/>
            </w:tcBorders>
            <w:vAlign w:val="bottom"/>
          </w:tcPr>
          <w:p w14:paraId="6F313BF3" w14:textId="2F72C847" w:rsidR="00995233" w:rsidRPr="00995233" w:rsidRDefault="00995233" w:rsidP="00995233">
            <w:pPr>
              <w:jc w:val="right"/>
              <w:rPr>
                <w:b/>
                <w:bCs/>
                <w:color w:val="000000"/>
                <w:sz w:val="18"/>
                <w:szCs w:val="18"/>
                <w:lang w:eastAsia="en-GB"/>
              </w:rPr>
            </w:pPr>
            <w:r>
              <w:rPr>
                <w:b/>
                <w:bCs/>
                <w:color w:val="000000"/>
                <w:sz w:val="18"/>
                <w:szCs w:val="18"/>
                <w:lang w:eastAsia="en-GB"/>
              </w:rPr>
              <w:t>99,437</w:t>
            </w:r>
          </w:p>
        </w:tc>
        <w:tc>
          <w:tcPr>
            <w:tcW w:w="386" w:type="pct"/>
            <w:tcBorders>
              <w:top w:val="single" w:sz="4" w:space="0" w:color="auto"/>
              <w:left w:val="nil"/>
              <w:bottom w:val="double" w:sz="4" w:space="0" w:color="auto"/>
              <w:right w:val="nil"/>
            </w:tcBorders>
            <w:shd w:val="clear" w:color="auto" w:fill="auto"/>
            <w:noWrap/>
            <w:vAlign w:val="bottom"/>
            <w:hideMark/>
          </w:tcPr>
          <w:p w14:paraId="4ED5DC07" w14:textId="63C1C0B3" w:rsidR="00995233" w:rsidRPr="00995233" w:rsidRDefault="00995233" w:rsidP="00995233">
            <w:pPr>
              <w:jc w:val="right"/>
              <w:rPr>
                <w:b/>
                <w:bCs/>
                <w:color w:val="000000"/>
                <w:sz w:val="18"/>
                <w:szCs w:val="18"/>
                <w:lang w:eastAsia="en-GB"/>
              </w:rPr>
            </w:pPr>
            <w:r>
              <w:rPr>
                <w:b/>
                <w:bCs/>
                <w:color w:val="000000"/>
                <w:sz w:val="18"/>
                <w:szCs w:val="18"/>
                <w:lang w:eastAsia="en-GB"/>
              </w:rPr>
              <w:t>16,169</w:t>
            </w:r>
          </w:p>
        </w:tc>
        <w:tc>
          <w:tcPr>
            <w:tcW w:w="419" w:type="pct"/>
            <w:tcBorders>
              <w:top w:val="single" w:sz="4" w:space="0" w:color="auto"/>
              <w:left w:val="nil"/>
              <w:bottom w:val="double" w:sz="4" w:space="0" w:color="auto"/>
              <w:right w:val="nil"/>
            </w:tcBorders>
            <w:shd w:val="clear" w:color="auto" w:fill="auto"/>
            <w:noWrap/>
            <w:vAlign w:val="bottom"/>
            <w:hideMark/>
          </w:tcPr>
          <w:p w14:paraId="7D66D108" w14:textId="7E1816E0" w:rsidR="00995233" w:rsidRPr="00995233" w:rsidRDefault="00995233" w:rsidP="00995233">
            <w:pPr>
              <w:jc w:val="right"/>
              <w:rPr>
                <w:b/>
                <w:bCs/>
                <w:color w:val="000000"/>
                <w:sz w:val="18"/>
                <w:szCs w:val="18"/>
                <w:lang w:eastAsia="en-GB"/>
              </w:rPr>
            </w:pPr>
            <w:r>
              <w:rPr>
                <w:b/>
                <w:bCs/>
                <w:color w:val="000000"/>
                <w:sz w:val="18"/>
                <w:szCs w:val="18"/>
                <w:lang w:eastAsia="en-GB"/>
              </w:rPr>
              <w:t>49,757</w:t>
            </w:r>
          </w:p>
        </w:tc>
        <w:tc>
          <w:tcPr>
            <w:tcW w:w="441" w:type="pct"/>
            <w:tcBorders>
              <w:top w:val="single" w:sz="4" w:space="0" w:color="auto"/>
              <w:left w:val="nil"/>
              <w:bottom w:val="double" w:sz="4" w:space="0" w:color="auto"/>
              <w:right w:val="nil"/>
            </w:tcBorders>
            <w:shd w:val="clear" w:color="auto" w:fill="auto"/>
            <w:noWrap/>
            <w:vAlign w:val="bottom"/>
            <w:hideMark/>
          </w:tcPr>
          <w:p w14:paraId="6C6E0D99" w14:textId="2F584D9B" w:rsidR="00995233" w:rsidRPr="00995233" w:rsidRDefault="00995233" w:rsidP="00995233">
            <w:pPr>
              <w:jc w:val="right"/>
              <w:rPr>
                <w:b/>
                <w:bCs/>
                <w:color w:val="000000"/>
                <w:sz w:val="18"/>
                <w:szCs w:val="18"/>
                <w:lang w:eastAsia="en-GB"/>
              </w:rPr>
            </w:pPr>
            <w:r>
              <w:rPr>
                <w:b/>
                <w:bCs/>
                <w:color w:val="000000"/>
                <w:sz w:val="18"/>
                <w:szCs w:val="18"/>
                <w:lang w:eastAsia="en-GB"/>
              </w:rPr>
              <w:t>11,787,589</w:t>
            </w:r>
          </w:p>
        </w:tc>
        <w:tc>
          <w:tcPr>
            <w:tcW w:w="371" w:type="pct"/>
            <w:tcBorders>
              <w:top w:val="single" w:sz="4" w:space="0" w:color="auto"/>
              <w:left w:val="nil"/>
              <w:bottom w:val="double" w:sz="4" w:space="0" w:color="auto"/>
              <w:right w:val="nil"/>
            </w:tcBorders>
            <w:shd w:val="clear" w:color="auto" w:fill="auto"/>
            <w:noWrap/>
            <w:vAlign w:val="bottom"/>
            <w:hideMark/>
          </w:tcPr>
          <w:p w14:paraId="550CA3C9" w14:textId="4883E551" w:rsidR="00995233" w:rsidRPr="00995233" w:rsidRDefault="00995233" w:rsidP="00995233">
            <w:pPr>
              <w:jc w:val="right"/>
              <w:rPr>
                <w:b/>
                <w:bCs/>
                <w:color w:val="000000"/>
                <w:sz w:val="18"/>
                <w:szCs w:val="18"/>
                <w:lang w:eastAsia="en-GB"/>
              </w:rPr>
            </w:pPr>
            <w:r>
              <w:rPr>
                <w:b/>
                <w:bCs/>
                <w:color w:val="000000"/>
                <w:sz w:val="18"/>
                <w:szCs w:val="18"/>
                <w:lang w:eastAsia="en-GB"/>
              </w:rPr>
              <w:t>5,899</w:t>
            </w:r>
          </w:p>
        </w:tc>
        <w:tc>
          <w:tcPr>
            <w:tcW w:w="437" w:type="pct"/>
            <w:tcBorders>
              <w:top w:val="single" w:sz="4" w:space="0" w:color="auto"/>
              <w:left w:val="nil"/>
              <w:bottom w:val="double" w:sz="4" w:space="0" w:color="auto"/>
              <w:right w:val="nil"/>
            </w:tcBorders>
            <w:shd w:val="clear" w:color="auto" w:fill="auto"/>
            <w:noWrap/>
            <w:vAlign w:val="bottom"/>
            <w:hideMark/>
          </w:tcPr>
          <w:p w14:paraId="60F443F0" w14:textId="74FC4F88" w:rsidR="00995233" w:rsidRPr="00995233" w:rsidRDefault="00995233" w:rsidP="00995233">
            <w:pPr>
              <w:jc w:val="right"/>
              <w:rPr>
                <w:b/>
                <w:bCs/>
                <w:color w:val="000000"/>
                <w:sz w:val="18"/>
                <w:szCs w:val="18"/>
                <w:lang w:eastAsia="en-GB"/>
              </w:rPr>
            </w:pPr>
            <w:r>
              <w:rPr>
                <w:b/>
                <w:bCs/>
                <w:color w:val="000000"/>
                <w:sz w:val="18"/>
                <w:szCs w:val="18"/>
                <w:lang w:eastAsia="en-GB"/>
              </w:rPr>
              <w:t>11,980,495</w:t>
            </w:r>
          </w:p>
        </w:tc>
      </w:tr>
      <w:tr w:rsidR="00995233" w:rsidRPr="00EC690A" w14:paraId="5CDD74C7" w14:textId="77777777" w:rsidTr="007D3509">
        <w:trPr>
          <w:trHeight w:val="391"/>
        </w:trPr>
        <w:tc>
          <w:tcPr>
            <w:tcW w:w="2199" w:type="pct"/>
            <w:tcBorders>
              <w:top w:val="double" w:sz="4" w:space="0" w:color="auto"/>
              <w:left w:val="nil"/>
              <w:bottom w:val="nil"/>
              <w:right w:val="nil"/>
            </w:tcBorders>
            <w:shd w:val="clear" w:color="auto" w:fill="auto"/>
            <w:noWrap/>
            <w:vAlign w:val="bottom"/>
            <w:hideMark/>
          </w:tcPr>
          <w:p w14:paraId="2FBE674F" w14:textId="77777777" w:rsidR="00995233" w:rsidRPr="00EC690A" w:rsidRDefault="00995233" w:rsidP="00C4197C">
            <w:pPr>
              <w:rPr>
                <w:color w:val="000000"/>
                <w:sz w:val="18"/>
                <w:szCs w:val="18"/>
                <w:lang w:eastAsia="en-GB"/>
              </w:rPr>
            </w:pPr>
            <w:r>
              <w:rPr>
                <w:color w:val="000000"/>
                <w:sz w:val="18"/>
                <w:szCs w:val="18"/>
                <w:lang w:eastAsia="en-GB"/>
              </w:rPr>
              <w:t>Claims paid (Note 31)</w:t>
            </w:r>
          </w:p>
        </w:tc>
        <w:tc>
          <w:tcPr>
            <w:tcW w:w="369" w:type="pct"/>
            <w:tcBorders>
              <w:top w:val="double" w:sz="4" w:space="0" w:color="auto"/>
              <w:left w:val="nil"/>
              <w:bottom w:val="nil"/>
              <w:right w:val="nil"/>
            </w:tcBorders>
            <w:shd w:val="clear" w:color="auto" w:fill="auto"/>
            <w:noWrap/>
            <w:vAlign w:val="bottom"/>
          </w:tcPr>
          <w:p w14:paraId="368E013D" w14:textId="7D39B160" w:rsidR="00995233" w:rsidRPr="00EC690A" w:rsidRDefault="00995233" w:rsidP="00995233">
            <w:pPr>
              <w:jc w:val="right"/>
              <w:rPr>
                <w:color w:val="000000"/>
                <w:sz w:val="18"/>
                <w:szCs w:val="18"/>
                <w:lang w:eastAsia="en-GB"/>
              </w:rPr>
            </w:pPr>
            <w:r>
              <w:rPr>
                <w:color w:val="000000"/>
                <w:sz w:val="18"/>
                <w:szCs w:val="18"/>
                <w:lang w:eastAsia="en-GB"/>
              </w:rPr>
              <w:t>(29,160)</w:t>
            </w:r>
          </w:p>
        </w:tc>
        <w:tc>
          <w:tcPr>
            <w:tcW w:w="378" w:type="pct"/>
            <w:tcBorders>
              <w:top w:val="double" w:sz="4" w:space="0" w:color="auto"/>
              <w:left w:val="nil"/>
              <w:bottom w:val="nil"/>
              <w:right w:val="nil"/>
            </w:tcBorders>
            <w:vAlign w:val="bottom"/>
          </w:tcPr>
          <w:p w14:paraId="00D25C34" w14:textId="5200D22B" w:rsidR="00995233" w:rsidRPr="00EC690A" w:rsidRDefault="00995233" w:rsidP="00995233">
            <w:pPr>
              <w:jc w:val="right"/>
              <w:rPr>
                <w:color w:val="000000"/>
                <w:sz w:val="18"/>
                <w:szCs w:val="18"/>
              </w:rPr>
            </w:pPr>
            <w:r>
              <w:rPr>
                <w:color w:val="000000"/>
                <w:sz w:val="18"/>
                <w:szCs w:val="18"/>
              </w:rPr>
              <w:t>(242,424)</w:t>
            </w:r>
          </w:p>
        </w:tc>
        <w:tc>
          <w:tcPr>
            <w:tcW w:w="386" w:type="pct"/>
            <w:tcBorders>
              <w:top w:val="double" w:sz="4" w:space="0" w:color="auto"/>
              <w:left w:val="nil"/>
              <w:bottom w:val="nil"/>
              <w:right w:val="nil"/>
            </w:tcBorders>
            <w:shd w:val="clear" w:color="auto" w:fill="auto"/>
            <w:noWrap/>
            <w:vAlign w:val="bottom"/>
          </w:tcPr>
          <w:p w14:paraId="2127DE9B" w14:textId="0E840EB1" w:rsidR="00995233" w:rsidRPr="00EC690A" w:rsidRDefault="00995233" w:rsidP="00995233">
            <w:pPr>
              <w:jc w:val="right"/>
              <w:rPr>
                <w:color w:val="000000"/>
                <w:sz w:val="18"/>
                <w:szCs w:val="18"/>
                <w:lang w:eastAsia="en-GB"/>
              </w:rPr>
            </w:pPr>
            <w:r>
              <w:rPr>
                <w:color w:val="000000"/>
                <w:sz w:val="18"/>
                <w:szCs w:val="18"/>
                <w:lang w:eastAsia="en-GB"/>
              </w:rPr>
              <w:t>-</w:t>
            </w:r>
          </w:p>
        </w:tc>
        <w:tc>
          <w:tcPr>
            <w:tcW w:w="419" w:type="pct"/>
            <w:tcBorders>
              <w:top w:val="double" w:sz="4" w:space="0" w:color="auto"/>
              <w:left w:val="nil"/>
              <w:bottom w:val="nil"/>
              <w:right w:val="nil"/>
            </w:tcBorders>
            <w:shd w:val="clear" w:color="auto" w:fill="auto"/>
            <w:noWrap/>
            <w:vAlign w:val="bottom"/>
          </w:tcPr>
          <w:p w14:paraId="11939E21" w14:textId="1ADCF665" w:rsidR="00995233" w:rsidRPr="00EC690A" w:rsidRDefault="00995233" w:rsidP="00995233">
            <w:pPr>
              <w:jc w:val="right"/>
              <w:rPr>
                <w:color w:val="000000"/>
                <w:sz w:val="18"/>
                <w:szCs w:val="18"/>
                <w:lang w:eastAsia="en-GB"/>
              </w:rPr>
            </w:pPr>
            <w:r>
              <w:rPr>
                <w:color w:val="000000"/>
                <w:sz w:val="18"/>
                <w:szCs w:val="18"/>
                <w:lang w:eastAsia="en-GB"/>
              </w:rPr>
              <w:t>(81,319)</w:t>
            </w:r>
          </w:p>
        </w:tc>
        <w:tc>
          <w:tcPr>
            <w:tcW w:w="441" w:type="pct"/>
            <w:tcBorders>
              <w:top w:val="double" w:sz="4" w:space="0" w:color="auto"/>
              <w:left w:val="nil"/>
              <w:bottom w:val="nil"/>
              <w:right w:val="nil"/>
            </w:tcBorders>
            <w:shd w:val="clear" w:color="auto" w:fill="auto"/>
            <w:noWrap/>
            <w:vAlign w:val="bottom"/>
          </w:tcPr>
          <w:p w14:paraId="67261158" w14:textId="1949DB43" w:rsidR="00995233" w:rsidRPr="00EC690A" w:rsidRDefault="00995233" w:rsidP="00995233">
            <w:pPr>
              <w:jc w:val="right"/>
              <w:rPr>
                <w:color w:val="000000"/>
                <w:sz w:val="18"/>
                <w:szCs w:val="18"/>
                <w:lang w:eastAsia="en-GB"/>
              </w:rPr>
            </w:pPr>
            <w:r>
              <w:rPr>
                <w:color w:val="000000"/>
                <w:sz w:val="18"/>
                <w:szCs w:val="18"/>
                <w:lang w:eastAsia="en-GB"/>
              </w:rPr>
              <w:t>(7,711,5330</w:t>
            </w:r>
          </w:p>
        </w:tc>
        <w:tc>
          <w:tcPr>
            <w:tcW w:w="371" w:type="pct"/>
            <w:tcBorders>
              <w:top w:val="double" w:sz="4" w:space="0" w:color="auto"/>
              <w:left w:val="nil"/>
              <w:bottom w:val="nil"/>
              <w:right w:val="nil"/>
            </w:tcBorders>
            <w:shd w:val="clear" w:color="auto" w:fill="auto"/>
            <w:noWrap/>
            <w:vAlign w:val="bottom"/>
          </w:tcPr>
          <w:p w14:paraId="3A744BC0" w14:textId="416D6372" w:rsidR="00995233" w:rsidRPr="00EC690A" w:rsidRDefault="00995233" w:rsidP="00995233">
            <w:pPr>
              <w:jc w:val="right"/>
              <w:rPr>
                <w:color w:val="000000"/>
                <w:sz w:val="18"/>
                <w:szCs w:val="18"/>
                <w:lang w:eastAsia="en-GB"/>
              </w:rPr>
            </w:pPr>
            <w:r>
              <w:rPr>
                <w:color w:val="000000"/>
                <w:sz w:val="18"/>
                <w:szCs w:val="18"/>
                <w:lang w:eastAsia="en-GB"/>
              </w:rPr>
              <w:t>-</w:t>
            </w:r>
          </w:p>
        </w:tc>
        <w:tc>
          <w:tcPr>
            <w:tcW w:w="437" w:type="pct"/>
            <w:tcBorders>
              <w:top w:val="double" w:sz="4" w:space="0" w:color="auto"/>
              <w:left w:val="nil"/>
              <w:bottom w:val="nil"/>
              <w:right w:val="nil"/>
            </w:tcBorders>
            <w:shd w:val="clear" w:color="auto" w:fill="auto"/>
            <w:noWrap/>
            <w:vAlign w:val="bottom"/>
          </w:tcPr>
          <w:p w14:paraId="1A8AE0C4" w14:textId="06650DF8" w:rsidR="00995233" w:rsidRPr="00EC690A" w:rsidRDefault="00995233" w:rsidP="00995233">
            <w:pPr>
              <w:jc w:val="right"/>
              <w:rPr>
                <w:b/>
                <w:bCs/>
                <w:color w:val="000000"/>
                <w:sz w:val="18"/>
                <w:szCs w:val="18"/>
                <w:lang w:eastAsia="en-GB"/>
              </w:rPr>
            </w:pPr>
            <w:r>
              <w:rPr>
                <w:b/>
                <w:bCs/>
                <w:color w:val="000000"/>
                <w:sz w:val="18"/>
                <w:szCs w:val="18"/>
                <w:lang w:eastAsia="en-GB"/>
              </w:rPr>
              <w:t>(8,064,436)</w:t>
            </w:r>
          </w:p>
        </w:tc>
      </w:tr>
      <w:tr w:rsidR="00995233" w:rsidRPr="00EC690A" w14:paraId="1FCD793F" w14:textId="77777777" w:rsidTr="007D3509">
        <w:trPr>
          <w:trHeight w:val="300"/>
        </w:trPr>
        <w:tc>
          <w:tcPr>
            <w:tcW w:w="2199" w:type="pct"/>
            <w:tcBorders>
              <w:top w:val="nil"/>
              <w:left w:val="nil"/>
              <w:bottom w:val="nil"/>
              <w:right w:val="nil"/>
            </w:tcBorders>
            <w:shd w:val="clear" w:color="auto" w:fill="auto"/>
            <w:noWrap/>
            <w:vAlign w:val="bottom"/>
            <w:hideMark/>
          </w:tcPr>
          <w:p w14:paraId="36D5CB43" w14:textId="77777777" w:rsidR="00995233" w:rsidRPr="00EC690A" w:rsidRDefault="00995233" w:rsidP="00C4197C">
            <w:pPr>
              <w:rPr>
                <w:color w:val="000000"/>
                <w:sz w:val="18"/>
                <w:szCs w:val="18"/>
                <w:lang w:eastAsia="en-GB"/>
              </w:rPr>
            </w:pPr>
            <w:r>
              <w:rPr>
                <w:color w:val="000000"/>
                <w:sz w:val="18"/>
                <w:szCs w:val="18"/>
                <w:lang w:eastAsia="en-GB"/>
              </w:rPr>
              <w:t>Claims ceded to reinsurers</w:t>
            </w:r>
          </w:p>
        </w:tc>
        <w:tc>
          <w:tcPr>
            <w:tcW w:w="369" w:type="pct"/>
            <w:tcBorders>
              <w:top w:val="nil"/>
              <w:left w:val="nil"/>
              <w:bottom w:val="nil"/>
              <w:right w:val="nil"/>
            </w:tcBorders>
            <w:shd w:val="clear" w:color="auto" w:fill="auto"/>
            <w:noWrap/>
            <w:vAlign w:val="bottom"/>
          </w:tcPr>
          <w:p w14:paraId="42E3A26E" w14:textId="3A73F65D" w:rsidR="00995233" w:rsidRPr="00EC690A" w:rsidRDefault="00995233" w:rsidP="00995233">
            <w:pPr>
              <w:jc w:val="right"/>
              <w:rPr>
                <w:color w:val="000000"/>
                <w:sz w:val="18"/>
                <w:szCs w:val="18"/>
                <w:lang w:eastAsia="en-GB"/>
              </w:rPr>
            </w:pPr>
            <w:r>
              <w:rPr>
                <w:color w:val="000000"/>
                <w:sz w:val="18"/>
                <w:szCs w:val="18"/>
                <w:lang w:eastAsia="en-GB"/>
              </w:rPr>
              <w:t>25,280</w:t>
            </w:r>
          </w:p>
        </w:tc>
        <w:tc>
          <w:tcPr>
            <w:tcW w:w="378" w:type="pct"/>
            <w:tcBorders>
              <w:top w:val="nil"/>
              <w:left w:val="nil"/>
              <w:bottom w:val="nil"/>
              <w:right w:val="nil"/>
            </w:tcBorders>
            <w:vAlign w:val="bottom"/>
          </w:tcPr>
          <w:p w14:paraId="31DB2EAD" w14:textId="1C47B57F" w:rsidR="00995233" w:rsidRPr="00EC690A" w:rsidRDefault="00995233" w:rsidP="00995233">
            <w:pPr>
              <w:jc w:val="right"/>
              <w:rPr>
                <w:color w:val="000000"/>
                <w:sz w:val="18"/>
                <w:szCs w:val="18"/>
              </w:rPr>
            </w:pPr>
            <w:r>
              <w:rPr>
                <w:color w:val="000000"/>
                <w:sz w:val="18"/>
                <w:szCs w:val="18"/>
              </w:rPr>
              <w:t>161,928</w:t>
            </w:r>
          </w:p>
        </w:tc>
        <w:tc>
          <w:tcPr>
            <w:tcW w:w="386" w:type="pct"/>
            <w:tcBorders>
              <w:top w:val="nil"/>
              <w:left w:val="nil"/>
              <w:bottom w:val="nil"/>
              <w:right w:val="nil"/>
            </w:tcBorders>
            <w:shd w:val="clear" w:color="auto" w:fill="auto"/>
            <w:noWrap/>
            <w:vAlign w:val="bottom"/>
          </w:tcPr>
          <w:p w14:paraId="409A7F16" w14:textId="6DD59478" w:rsidR="00995233" w:rsidRPr="00EC690A" w:rsidRDefault="00995233" w:rsidP="00995233">
            <w:pPr>
              <w:jc w:val="right"/>
              <w:rPr>
                <w:color w:val="000000"/>
                <w:sz w:val="18"/>
                <w:szCs w:val="18"/>
                <w:lang w:eastAsia="en-GB"/>
              </w:rPr>
            </w:pPr>
            <w:r>
              <w:rPr>
                <w:color w:val="000000"/>
                <w:sz w:val="18"/>
                <w:szCs w:val="18"/>
                <w:lang w:eastAsia="en-GB"/>
              </w:rPr>
              <w:t>-</w:t>
            </w:r>
          </w:p>
        </w:tc>
        <w:tc>
          <w:tcPr>
            <w:tcW w:w="419" w:type="pct"/>
            <w:tcBorders>
              <w:top w:val="nil"/>
              <w:left w:val="nil"/>
              <w:bottom w:val="nil"/>
              <w:right w:val="nil"/>
            </w:tcBorders>
            <w:shd w:val="clear" w:color="auto" w:fill="auto"/>
            <w:noWrap/>
            <w:vAlign w:val="bottom"/>
          </w:tcPr>
          <w:p w14:paraId="020A397A" w14:textId="18DEE6CA" w:rsidR="00995233" w:rsidRPr="00EC690A" w:rsidRDefault="00995233" w:rsidP="00995233">
            <w:pPr>
              <w:jc w:val="right"/>
              <w:rPr>
                <w:color w:val="000000"/>
                <w:sz w:val="18"/>
                <w:szCs w:val="18"/>
                <w:lang w:eastAsia="en-GB"/>
              </w:rPr>
            </w:pPr>
            <w:r>
              <w:rPr>
                <w:color w:val="000000"/>
                <w:sz w:val="18"/>
                <w:szCs w:val="18"/>
                <w:lang w:eastAsia="en-GB"/>
              </w:rPr>
              <w:t>40,612</w:t>
            </w:r>
          </w:p>
        </w:tc>
        <w:tc>
          <w:tcPr>
            <w:tcW w:w="441" w:type="pct"/>
            <w:tcBorders>
              <w:top w:val="nil"/>
              <w:left w:val="nil"/>
              <w:bottom w:val="nil"/>
              <w:right w:val="nil"/>
            </w:tcBorders>
            <w:shd w:val="clear" w:color="auto" w:fill="auto"/>
            <w:noWrap/>
            <w:vAlign w:val="bottom"/>
          </w:tcPr>
          <w:p w14:paraId="5D4B9F90" w14:textId="70D31DBD" w:rsidR="00995233" w:rsidRPr="00EC690A" w:rsidRDefault="00995233" w:rsidP="00995233">
            <w:pPr>
              <w:jc w:val="right"/>
              <w:rPr>
                <w:color w:val="000000"/>
                <w:sz w:val="18"/>
                <w:szCs w:val="18"/>
                <w:lang w:eastAsia="en-GB"/>
              </w:rPr>
            </w:pPr>
            <w:r>
              <w:rPr>
                <w:color w:val="000000"/>
                <w:sz w:val="18"/>
                <w:szCs w:val="18"/>
                <w:lang w:eastAsia="en-GB"/>
              </w:rPr>
              <w:t>174,566</w:t>
            </w:r>
          </w:p>
        </w:tc>
        <w:tc>
          <w:tcPr>
            <w:tcW w:w="371" w:type="pct"/>
            <w:tcBorders>
              <w:top w:val="nil"/>
              <w:left w:val="nil"/>
              <w:bottom w:val="nil"/>
              <w:right w:val="nil"/>
            </w:tcBorders>
            <w:shd w:val="clear" w:color="auto" w:fill="auto"/>
            <w:noWrap/>
            <w:vAlign w:val="bottom"/>
          </w:tcPr>
          <w:p w14:paraId="39353187" w14:textId="6E28DC89" w:rsidR="00995233" w:rsidRPr="00EC690A" w:rsidRDefault="00995233" w:rsidP="00995233">
            <w:pPr>
              <w:jc w:val="right"/>
              <w:rPr>
                <w:color w:val="000000"/>
                <w:sz w:val="18"/>
                <w:szCs w:val="18"/>
                <w:lang w:eastAsia="en-GB"/>
              </w:rPr>
            </w:pPr>
            <w:r>
              <w:rPr>
                <w:color w:val="000000"/>
                <w:sz w:val="18"/>
                <w:szCs w:val="18"/>
                <w:lang w:eastAsia="en-GB"/>
              </w:rPr>
              <w:t>-</w:t>
            </w:r>
          </w:p>
        </w:tc>
        <w:tc>
          <w:tcPr>
            <w:tcW w:w="437" w:type="pct"/>
            <w:tcBorders>
              <w:top w:val="nil"/>
              <w:left w:val="nil"/>
              <w:bottom w:val="nil"/>
              <w:right w:val="nil"/>
            </w:tcBorders>
            <w:shd w:val="clear" w:color="auto" w:fill="auto"/>
            <w:noWrap/>
            <w:vAlign w:val="bottom"/>
          </w:tcPr>
          <w:p w14:paraId="48B9ED32" w14:textId="3E96C0D3" w:rsidR="00995233" w:rsidRPr="00EC690A" w:rsidRDefault="00995233" w:rsidP="00995233">
            <w:pPr>
              <w:jc w:val="right"/>
              <w:rPr>
                <w:b/>
                <w:bCs/>
                <w:color w:val="000000"/>
                <w:sz w:val="18"/>
                <w:szCs w:val="18"/>
                <w:lang w:eastAsia="en-GB"/>
              </w:rPr>
            </w:pPr>
            <w:r>
              <w:rPr>
                <w:b/>
                <w:bCs/>
                <w:color w:val="000000"/>
                <w:sz w:val="18"/>
                <w:szCs w:val="18"/>
                <w:lang w:eastAsia="en-GB"/>
              </w:rPr>
              <w:t>402,386</w:t>
            </w:r>
          </w:p>
        </w:tc>
      </w:tr>
      <w:tr w:rsidR="00995233" w:rsidRPr="00EC690A" w14:paraId="6DC3F675" w14:textId="77777777" w:rsidTr="007D3509">
        <w:trPr>
          <w:trHeight w:val="300"/>
        </w:trPr>
        <w:tc>
          <w:tcPr>
            <w:tcW w:w="2199" w:type="pct"/>
            <w:tcBorders>
              <w:top w:val="single" w:sz="4" w:space="0" w:color="auto"/>
              <w:left w:val="nil"/>
              <w:bottom w:val="single" w:sz="4" w:space="0" w:color="auto"/>
              <w:right w:val="nil"/>
            </w:tcBorders>
            <w:shd w:val="clear" w:color="auto" w:fill="auto"/>
            <w:noWrap/>
            <w:vAlign w:val="bottom"/>
            <w:hideMark/>
          </w:tcPr>
          <w:p w14:paraId="28B136D0" w14:textId="77777777" w:rsidR="00995233" w:rsidRPr="00EC690A" w:rsidRDefault="00995233" w:rsidP="00C4197C">
            <w:pPr>
              <w:rPr>
                <w:b/>
                <w:bCs/>
                <w:color w:val="000000"/>
                <w:sz w:val="18"/>
                <w:szCs w:val="18"/>
                <w:lang w:eastAsia="en-GB"/>
              </w:rPr>
            </w:pPr>
            <w:r>
              <w:rPr>
                <w:b/>
                <w:bCs/>
                <w:color w:val="000000"/>
                <w:sz w:val="18"/>
                <w:szCs w:val="18"/>
                <w:lang w:eastAsia="en-GB"/>
              </w:rPr>
              <w:t>Net payments</w:t>
            </w:r>
          </w:p>
        </w:tc>
        <w:tc>
          <w:tcPr>
            <w:tcW w:w="369" w:type="pct"/>
            <w:tcBorders>
              <w:top w:val="single" w:sz="4" w:space="0" w:color="auto"/>
              <w:left w:val="nil"/>
              <w:bottom w:val="single" w:sz="4" w:space="0" w:color="auto"/>
              <w:right w:val="nil"/>
            </w:tcBorders>
            <w:shd w:val="clear" w:color="auto" w:fill="auto"/>
            <w:noWrap/>
            <w:vAlign w:val="bottom"/>
          </w:tcPr>
          <w:p w14:paraId="319083A2" w14:textId="583E6F1D" w:rsidR="00995233" w:rsidRPr="00EC690A" w:rsidRDefault="00995233" w:rsidP="00995233">
            <w:pPr>
              <w:jc w:val="right"/>
              <w:rPr>
                <w:b/>
                <w:bCs/>
                <w:color w:val="000000"/>
                <w:sz w:val="18"/>
                <w:szCs w:val="18"/>
                <w:lang w:eastAsia="en-GB"/>
              </w:rPr>
            </w:pPr>
            <w:r>
              <w:rPr>
                <w:b/>
                <w:bCs/>
                <w:color w:val="000000"/>
                <w:sz w:val="18"/>
                <w:szCs w:val="18"/>
                <w:lang w:eastAsia="en-GB"/>
              </w:rPr>
              <w:t>(3,880)</w:t>
            </w:r>
          </w:p>
        </w:tc>
        <w:tc>
          <w:tcPr>
            <w:tcW w:w="378" w:type="pct"/>
            <w:tcBorders>
              <w:top w:val="single" w:sz="4" w:space="0" w:color="auto"/>
              <w:left w:val="nil"/>
              <w:bottom w:val="single" w:sz="4" w:space="0" w:color="auto"/>
              <w:right w:val="nil"/>
            </w:tcBorders>
            <w:vAlign w:val="bottom"/>
          </w:tcPr>
          <w:p w14:paraId="1016AEED" w14:textId="2843D6D4" w:rsidR="00995233" w:rsidRPr="00EC690A" w:rsidRDefault="00995233" w:rsidP="00995233">
            <w:pPr>
              <w:jc w:val="right"/>
              <w:rPr>
                <w:b/>
                <w:bCs/>
                <w:color w:val="000000"/>
                <w:sz w:val="18"/>
                <w:szCs w:val="18"/>
              </w:rPr>
            </w:pPr>
            <w:r>
              <w:rPr>
                <w:b/>
                <w:bCs/>
                <w:color w:val="000000"/>
                <w:sz w:val="18"/>
                <w:szCs w:val="18"/>
              </w:rPr>
              <w:t>(80,496)</w:t>
            </w:r>
          </w:p>
        </w:tc>
        <w:tc>
          <w:tcPr>
            <w:tcW w:w="386" w:type="pct"/>
            <w:tcBorders>
              <w:top w:val="single" w:sz="4" w:space="0" w:color="auto"/>
              <w:left w:val="nil"/>
              <w:bottom w:val="single" w:sz="4" w:space="0" w:color="auto"/>
              <w:right w:val="nil"/>
            </w:tcBorders>
            <w:shd w:val="clear" w:color="auto" w:fill="auto"/>
            <w:noWrap/>
            <w:vAlign w:val="bottom"/>
          </w:tcPr>
          <w:p w14:paraId="5141821A" w14:textId="3870369E" w:rsidR="00995233" w:rsidRPr="00EC690A" w:rsidRDefault="00995233" w:rsidP="00995233">
            <w:pPr>
              <w:jc w:val="right"/>
              <w:rPr>
                <w:b/>
                <w:bCs/>
                <w:color w:val="000000"/>
                <w:sz w:val="18"/>
                <w:szCs w:val="18"/>
                <w:lang w:eastAsia="en-GB"/>
              </w:rPr>
            </w:pPr>
            <w:r>
              <w:rPr>
                <w:b/>
                <w:bCs/>
                <w:color w:val="000000"/>
                <w:sz w:val="18"/>
                <w:szCs w:val="18"/>
                <w:lang w:eastAsia="en-GB"/>
              </w:rPr>
              <w:t>-</w:t>
            </w:r>
          </w:p>
        </w:tc>
        <w:tc>
          <w:tcPr>
            <w:tcW w:w="419" w:type="pct"/>
            <w:tcBorders>
              <w:top w:val="single" w:sz="4" w:space="0" w:color="auto"/>
              <w:left w:val="nil"/>
              <w:bottom w:val="single" w:sz="4" w:space="0" w:color="auto"/>
              <w:right w:val="nil"/>
            </w:tcBorders>
            <w:shd w:val="clear" w:color="auto" w:fill="auto"/>
            <w:noWrap/>
            <w:vAlign w:val="bottom"/>
          </w:tcPr>
          <w:p w14:paraId="59290EA3" w14:textId="21042AB9" w:rsidR="00995233" w:rsidRPr="00EC690A" w:rsidRDefault="00995233" w:rsidP="00995233">
            <w:pPr>
              <w:jc w:val="right"/>
              <w:rPr>
                <w:b/>
                <w:bCs/>
                <w:color w:val="000000"/>
                <w:sz w:val="18"/>
                <w:szCs w:val="18"/>
                <w:lang w:eastAsia="en-GB"/>
              </w:rPr>
            </w:pPr>
            <w:r>
              <w:rPr>
                <w:b/>
                <w:bCs/>
                <w:color w:val="000000"/>
                <w:sz w:val="18"/>
                <w:szCs w:val="18"/>
                <w:lang w:eastAsia="en-GB"/>
              </w:rPr>
              <w:t>(40,707)</w:t>
            </w:r>
          </w:p>
        </w:tc>
        <w:tc>
          <w:tcPr>
            <w:tcW w:w="441" w:type="pct"/>
            <w:tcBorders>
              <w:top w:val="single" w:sz="4" w:space="0" w:color="auto"/>
              <w:left w:val="nil"/>
              <w:bottom w:val="single" w:sz="4" w:space="0" w:color="auto"/>
              <w:right w:val="nil"/>
            </w:tcBorders>
            <w:shd w:val="clear" w:color="auto" w:fill="auto"/>
            <w:noWrap/>
            <w:vAlign w:val="bottom"/>
          </w:tcPr>
          <w:p w14:paraId="17237256" w14:textId="6D556834" w:rsidR="00995233" w:rsidRPr="00EC690A" w:rsidRDefault="00995233" w:rsidP="00995233">
            <w:pPr>
              <w:jc w:val="right"/>
              <w:rPr>
                <w:b/>
                <w:bCs/>
                <w:color w:val="000000"/>
                <w:sz w:val="18"/>
                <w:szCs w:val="18"/>
                <w:lang w:eastAsia="en-GB"/>
              </w:rPr>
            </w:pPr>
            <w:r>
              <w:rPr>
                <w:b/>
                <w:bCs/>
                <w:color w:val="000000"/>
                <w:sz w:val="18"/>
                <w:szCs w:val="18"/>
                <w:lang w:eastAsia="en-GB"/>
              </w:rPr>
              <w:t>(7,536,967)</w:t>
            </w:r>
          </w:p>
        </w:tc>
        <w:tc>
          <w:tcPr>
            <w:tcW w:w="371" w:type="pct"/>
            <w:tcBorders>
              <w:top w:val="single" w:sz="4" w:space="0" w:color="auto"/>
              <w:left w:val="nil"/>
              <w:bottom w:val="single" w:sz="4" w:space="0" w:color="auto"/>
              <w:right w:val="nil"/>
            </w:tcBorders>
            <w:shd w:val="clear" w:color="auto" w:fill="auto"/>
            <w:noWrap/>
            <w:vAlign w:val="bottom"/>
          </w:tcPr>
          <w:p w14:paraId="45E60F07" w14:textId="008B78CC" w:rsidR="00995233" w:rsidRPr="00EC690A" w:rsidRDefault="00995233" w:rsidP="00995233">
            <w:pPr>
              <w:jc w:val="right"/>
              <w:rPr>
                <w:b/>
                <w:bCs/>
                <w:color w:val="000000"/>
                <w:sz w:val="18"/>
                <w:szCs w:val="18"/>
                <w:lang w:eastAsia="en-GB"/>
              </w:rPr>
            </w:pPr>
            <w:r>
              <w:rPr>
                <w:b/>
                <w:bCs/>
                <w:color w:val="000000"/>
                <w:sz w:val="18"/>
                <w:szCs w:val="18"/>
                <w:lang w:eastAsia="en-GB"/>
              </w:rPr>
              <w:t>-</w:t>
            </w:r>
          </w:p>
        </w:tc>
        <w:tc>
          <w:tcPr>
            <w:tcW w:w="437" w:type="pct"/>
            <w:tcBorders>
              <w:top w:val="single" w:sz="4" w:space="0" w:color="auto"/>
              <w:left w:val="nil"/>
              <w:bottom w:val="single" w:sz="4" w:space="0" w:color="auto"/>
              <w:right w:val="nil"/>
            </w:tcBorders>
            <w:shd w:val="clear" w:color="auto" w:fill="auto"/>
            <w:noWrap/>
            <w:vAlign w:val="bottom"/>
          </w:tcPr>
          <w:p w14:paraId="25DB6BD1" w14:textId="36B5607F" w:rsidR="00995233" w:rsidRPr="00EC690A" w:rsidRDefault="00995233" w:rsidP="00995233">
            <w:pPr>
              <w:jc w:val="right"/>
              <w:rPr>
                <w:b/>
                <w:bCs/>
                <w:color w:val="000000"/>
                <w:sz w:val="18"/>
                <w:szCs w:val="18"/>
                <w:lang w:eastAsia="en-GB"/>
              </w:rPr>
            </w:pPr>
            <w:r>
              <w:rPr>
                <w:b/>
                <w:bCs/>
                <w:color w:val="000000"/>
                <w:sz w:val="18"/>
                <w:szCs w:val="18"/>
                <w:lang w:eastAsia="en-GB"/>
              </w:rPr>
              <w:t>(7,662,050)</w:t>
            </w:r>
          </w:p>
        </w:tc>
      </w:tr>
      <w:tr w:rsidR="007D3509" w:rsidRPr="00EC690A" w14:paraId="300A2E8B" w14:textId="77777777" w:rsidTr="007D3509">
        <w:trPr>
          <w:trHeight w:val="369"/>
        </w:trPr>
        <w:tc>
          <w:tcPr>
            <w:tcW w:w="2199" w:type="pct"/>
            <w:tcBorders>
              <w:top w:val="nil"/>
              <w:left w:val="nil"/>
              <w:bottom w:val="single" w:sz="4" w:space="0" w:color="auto"/>
              <w:right w:val="nil"/>
            </w:tcBorders>
            <w:shd w:val="clear" w:color="auto" w:fill="auto"/>
            <w:noWrap/>
            <w:vAlign w:val="bottom"/>
            <w:hideMark/>
          </w:tcPr>
          <w:p w14:paraId="11D2D5ED" w14:textId="59EE09DE" w:rsidR="00995233" w:rsidRPr="003D3688" w:rsidRDefault="00995233" w:rsidP="00C4197C">
            <w:pPr>
              <w:rPr>
                <w:color w:val="000000"/>
                <w:sz w:val="18"/>
                <w:szCs w:val="18"/>
                <w:lang w:eastAsia="en-GB"/>
              </w:rPr>
            </w:pPr>
            <w:r w:rsidRPr="003D3688">
              <w:rPr>
                <w:color w:val="000000"/>
                <w:sz w:val="18"/>
                <w:szCs w:val="18"/>
                <w:lang w:eastAsia="en-GB"/>
              </w:rPr>
              <w:t>Change in provision for claims, net of reinsurance (Note 1</w:t>
            </w:r>
            <w:r w:rsidR="00A82E69" w:rsidRPr="00A82E69">
              <w:rPr>
                <w:color w:val="000000"/>
                <w:sz w:val="18"/>
                <w:szCs w:val="18"/>
                <w:lang w:eastAsia="en-GB"/>
              </w:rPr>
              <w:t>8</w:t>
            </w:r>
            <w:r w:rsidRPr="003D3688">
              <w:rPr>
                <w:color w:val="000000"/>
                <w:sz w:val="18"/>
                <w:szCs w:val="18"/>
                <w:lang w:eastAsia="en-GB"/>
              </w:rPr>
              <w:t>)</w:t>
            </w:r>
          </w:p>
        </w:tc>
        <w:tc>
          <w:tcPr>
            <w:tcW w:w="369" w:type="pct"/>
            <w:tcBorders>
              <w:top w:val="nil"/>
              <w:left w:val="nil"/>
              <w:bottom w:val="single" w:sz="4" w:space="0" w:color="auto"/>
              <w:right w:val="nil"/>
            </w:tcBorders>
            <w:shd w:val="clear" w:color="auto" w:fill="auto"/>
            <w:noWrap/>
            <w:vAlign w:val="bottom"/>
          </w:tcPr>
          <w:p w14:paraId="60659C78" w14:textId="02CBBED3" w:rsidR="00995233" w:rsidRPr="003D3688" w:rsidRDefault="00995233" w:rsidP="00995233">
            <w:pPr>
              <w:jc w:val="right"/>
              <w:rPr>
                <w:color w:val="000000"/>
                <w:sz w:val="18"/>
                <w:szCs w:val="18"/>
                <w:lang w:eastAsia="en-GB"/>
              </w:rPr>
            </w:pPr>
            <w:r>
              <w:rPr>
                <w:color w:val="000000"/>
                <w:sz w:val="18"/>
                <w:szCs w:val="18"/>
                <w:lang w:eastAsia="en-GB"/>
              </w:rPr>
              <w:t>3,714</w:t>
            </w:r>
          </w:p>
        </w:tc>
        <w:tc>
          <w:tcPr>
            <w:tcW w:w="378" w:type="pct"/>
            <w:tcBorders>
              <w:top w:val="nil"/>
              <w:left w:val="nil"/>
              <w:bottom w:val="single" w:sz="4" w:space="0" w:color="auto"/>
              <w:right w:val="nil"/>
            </w:tcBorders>
            <w:vAlign w:val="bottom"/>
          </w:tcPr>
          <w:p w14:paraId="35308A5A" w14:textId="0237EB70" w:rsidR="00995233" w:rsidRPr="003D3688" w:rsidRDefault="00995233" w:rsidP="00995233">
            <w:pPr>
              <w:jc w:val="right"/>
              <w:rPr>
                <w:color w:val="000000"/>
                <w:sz w:val="18"/>
                <w:szCs w:val="18"/>
                <w:lang w:eastAsia="en-GB"/>
              </w:rPr>
            </w:pPr>
            <w:r>
              <w:rPr>
                <w:color w:val="000000"/>
                <w:sz w:val="18"/>
                <w:szCs w:val="18"/>
                <w:lang w:eastAsia="en-GB"/>
              </w:rPr>
              <w:t>(19,921)</w:t>
            </w:r>
          </w:p>
        </w:tc>
        <w:tc>
          <w:tcPr>
            <w:tcW w:w="386" w:type="pct"/>
            <w:tcBorders>
              <w:top w:val="nil"/>
              <w:left w:val="nil"/>
              <w:bottom w:val="single" w:sz="4" w:space="0" w:color="auto"/>
              <w:right w:val="nil"/>
            </w:tcBorders>
            <w:shd w:val="clear" w:color="auto" w:fill="auto"/>
            <w:noWrap/>
            <w:vAlign w:val="bottom"/>
          </w:tcPr>
          <w:p w14:paraId="2238619C" w14:textId="71E1776F" w:rsidR="00995233" w:rsidRPr="003D3688" w:rsidRDefault="00995233" w:rsidP="00995233">
            <w:pPr>
              <w:jc w:val="right"/>
              <w:rPr>
                <w:color w:val="000000"/>
                <w:sz w:val="18"/>
                <w:szCs w:val="18"/>
                <w:lang w:eastAsia="en-GB"/>
              </w:rPr>
            </w:pPr>
            <w:r>
              <w:rPr>
                <w:color w:val="000000"/>
                <w:sz w:val="18"/>
                <w:szCs w:val="18"/>
                <w:lang w:eastAsia="en-GB"/>
              </w:rPr>
              <w:t>(88)</w:t>
            </w:r>
          </w:p>
        </w:tc>
        <w:tc>
          <w:tcPr>
            <w:tcW w:w="419" w:type="pct"/>
            <w:tcBorders>
              <w:top w:val="nil"/>
              <w:left w:val="nil"/>
              <w:bottom w:val="single" w:sz="4" w:space="0" w:color="auto"/>
              <w:right w:val="nil"/>
            </w:tcBorders>
            <w:shd w:val="clear" w:color="auto" w:fill="auto"/>
            <w:noWrap/>
            <w:vAlign w:val="bottom"/>
          </w:tcPr>
          <w:p w14:paraId="68055903" w14:textId="4EA8ABE3" w:rsidR="00995233" w:rsidRPr="003D3688" w:rsidRDefault="00995233" w:rsidP="00995233">
            <w:pPr>
              <w:jc w:val="right"/>
              <w:rPr>
                <w:color w:val="000000"/>
                <w:sz w:val="18"/>
                <w:szCs w:val="18"/>
                <w:lang w:eastAsia="en-GB"/>
              </w:rPr>
            </w:pPr>
            <w:r>
              <w:rPr>
                <w:color w:val="000000"/>
                <w:sz w:val="18"/>
                <w:szCs w:val="18"/>
                <w:lang w:eastAsia="en-GB"/>
              </w:rPr>
              <w:t>(45,862)</w:t>
            </w:r>
          </w:p>
        </w:tc>
        <w:tc>
          <w:tcPr>
            <w:tcW w:w="441" w:type="pct"/>
            <w:tcBorders>
              <w:top w:val="nil"/>
              <w:left w:val="nil"/>
              <w:bottom w:val="single" w:sz="4" w:space="0" w:color="auto"/>
              <w:right w:val="nil"/>
            </w:tcBorders>
            <w:shd w:val="clear" w:color="auto" w:fill="auto"/>
            <w:noWrap/>
            <w:vAlign w:val="bottom"/>
          </w:tcPr>
          <w:p w14:paraId="3034C2E6" w14:textId="47689D2E" w:rsidR="00995233" w:rsidRPr="003D3688" w:rsidRDefault="00995233" w:rsidP="00995233">
            <w:pPr>
              <w:jc w:val="right"/>
              <w:rPr>
                <w:color w:val="000000"/>
                <w:sz w:val="18"/>
                <w:szCs w:val="18"/>
                <w:lang w:eastAsia="en-GB"/>
              </w:rPr>
            </w:pPr>
            <w:r>
              <w:rPr>
                <w:color w:val="000000"/>
                <w:sz w:val="18"/>
                <w:szCs w:val="18"/>
                <w:lang w:eastAsia="en-GB"/>
              </w:rPr>
              <w:t>41,537</w:t>
            </w:r>
          </w:p>
        </w:tc>
        <w:tc>
          <w:tcPr>
            <w:tcW w:w="371" w:type="pct"/>
            <w:tcBorders>
              <w:top w:val="nil"/>
              <w:left w:val="nil"/>
              <w:bottom w:val="single" w:sz="4" w:space="0" w:color="auto"/>
              <w:right w:val="nil"/>
            </w:tcBorders>
            <w:shd w:val="clear" w:color="auto" w:fill="auto"/>
            <w:noWrap/>
            <w:vAlign w:val="bottom"/>
          </w:tcPr>
          <w:p w14:paraId="7325C03A" w14:textId="20DEAFB3" w:rsidR="00995233" w:rsidRPr="003D3688" w:rsidRDefault="00995233" w:rsidP="00995233">
            <w:pPr>
              <w:jc w:val="right"/>
              <w:rPr>
                <w:color w:val="000000"/>
                <w:sz w:val="18"/>
                <w:szCs w:val="18"/>
                <w:lang w:eastAsia="en-GB"/>
              </w:rPr>
            </w:pPr>
            <w:r>
              <w:rPr>
                <w:color w:val="000000"/>
                <w:sz w:val="18"/>
                <w:szCs w:val="18"/>
                <w:lang w:eastAsia="en-GB"/>
              </w:rPr>
              <w:t>(5)</w:t>
            </w:r>
          </w:p>
        </w:tc>
        <w:tc>
          <w:tcPr>
            <w:tcW w:w="437" w:type="pct"/>
            <w:tcBorders>
              <w:top w:val="nil"/>
              <w:left w:val="nil"/>
              <w:bottom w:val="single" w:sz="4" w:space="0" w:color="auto"/>
              <w:right w:val="nil"/>
            </w:tcBorders>
            <w:shd w:val="clear" w:color="auto" w:fill="auto"/>
            <w:noWrap/>
            <w:vAlign w:val="bottom"/>
          </w:tcPr>
          <w:p w14:paraId="0A4C66A3" w14:textId="602D0E25" w:rsidR="00995233" w:rsidRPr="003D3688" w:rsidRDefault="00995233" w:rsidP="00995233">
            <w:pPr>
              <w:jc w:val="right"/>
              <w:rPr>
                <w:color w:val="000000"/>
                <w:sz w:val="18"/>
                <w:szCs w:val="18"/>
                <w:lang w:eastAsia="en-GB"/>
              </w:rPr>
            </w:pPr>
            <w:r>
              <w:rPr>
                <w:color w:val="000000"/>
                <w:sz w:val="18"/>
                <w:szCs w:val="18"/>
                <w:lang w:eastAsia="en-GB"/>
              </w:rPr>
              <w:t>(20,625)</w:t>
            </w:r>
          </w:p>
        </w:tc>
      </w:tr>
      <w:tr w:rsidR="00995233" w:rsidRPr="00EC690A" w14:paraId="3665B9FF" w14:textId="77777777" w:rsidTr="007D3509">
        <w:trPr>
          <w:trHeight w:val="321"/>
        </w:trPr>
        <w:tc>
          <w:tcPr>
            <w:tcW w:w="2199" w:type="pct"/>
            <w:tcBorders>
              <w:top w:val="single" w:sz="4" w:space="0" w:color="auto"/>
              <w:left w:val="nil"/>
              <w:bottom w:val="double" w:sz="4" w:space="0" w:color="auto"/>
              <w:right w:val="nil"/>
            </w:tcBorders>
            <w:shd w:val="clear" w:color="auto" w:fill="auto"/>
            <w:noWrap/>
            <w:vAlign w:val="bottom"/>
            <w:hideMark/>
          </w:tcPr>
          <w:p w14:paraId="11A84E3C" w14:textId="77777777" w:rsidR="00995233" w:rsidRPr="00EC690A" w:rsidRDefault="00995233" w:rsidP="00C4197C">
            <w:pPr>
              <w:rPr>
                <w:b/>
                <w:bCs/>
                <w:color w:val="000000"/>
                <w:sz w:val="18"/>
                <w:szCs w:val="18"/>
                <w:lang w:eastAsia="en-GB"/>
              </w:rPr>
            </w:pPr>
            <w:r>
              <w:rPr>
                <w:b/>
                <w:bCs/>
                <w:color w:val="000000"/>
                <w:sz w:val="18"/>
                <w:szCs w:val="18"/>
                <w:lang w:eastAsia="en-GB"/>
              </w:rPr>
              <w:t>Net claims paid</w:t>
            </w:r>
          </w:p>
        </w:tc>
        <w:tc>
          <w:tcPr>
            <w:tcW w:w="369" w:type="pct"/>
            <w:tcBorders>
              <w:top w:val="single" w:sz="4" w:space="0" w:color="auto"/>
              <w:left w:val="nil"/>
              <w:bottom w:val="double" w:sz="4" w:space="0" w:color="auto"/>
              <w:right w:val="nil"/>
            </w:tcBorders>
            <w:shd w:val="clear" w:color="auto" w:fill="auto"/>
            <w:noWrap/>
            <w:vAlign w:val="bottom"/>
          </w:tcPr>
          <w:p w14:paraId="00CE0F12" w14:textId="62328617" w:rsidR="00995233" w:rsidRPr="00EC690A" w:rsidRDefault="00995233" w:rsidP="00995233">
            <w:pPr>
              <w:jc w:val="right"/>
              <w:rPr>
                <w:b/>
                <w:bCs/>
                <w:color w:val="000000"/>
                <w:sz w:val="18"/>
                <w:szCs w:val="18"/>
                <w:lang w:eastAsia="en-GB"/>
              </w:rPr>
            </w:pPr>
            <w:r>
              <w:rPr>
                <w:b/>
                <w:bCs/>
                <w:color w:val="000000"/>
                <w:sz w:val="18"/>
                <w:szCs w:val="18"/>
                <w:lang w:eastAsia="en-GB"/>
              </w:rPr>
              <w:t>(166)</w:t>
            </w:r>
          </w:p>
        </w:tc>
        <w:tc>
          <w:tcPr>
            <w:tcW w:w="378" w:type="pct"/>
            <w:tcBorders>
              <w:top w:val="single" w:sz="4" w:space="0" w:color="auto"/>
              <w:left w:val="nil"/>
              <w:bottom w:val="double" w:sz="4" w:space="0" w:color="auto"/>
              <w:right w:val="nil"/>
            </w:tcBorders>
            <w:vAlign w:val="bottom"/>
          </w:tcPr>
          <w:p w14:paraId="7C24CCA6" w14:textId="6874D77D" w:rsidR="00995233" w:rsidRPr="00EC690A" w:rsidRDefault="00995233" w:rsidP="00995233">
            <w:pPr>
              <w:jc w:val="right"/>
              <w:rPr>
                <w:b/>
                <w:bCs/>
                <w:color w:val="000000"/>
                <w:sz w:val="18"/>
                <w:szCs w:val="18"/>
              </w:rPr>
            </w:pPr>
            <w:r>
              <w:rPr>
                <w:b/>
                <w:bCs/>
                <w:color w:val="000000"/>
                <w:sz w:val="18"/>
                <w:szCs w:val="18"/>
              </w:rPr>
              <w:t>(100,417)</w:t>
            </w:r>
          </w:p>
        </w:tc>
        <w:tc>
          <w:tcPr>
            <w:tcW w:w="386" w:type="pct"/>
            <w:tcBorders>
              <w:top w:val="single" w:sz="4" w:space="0" w:color="auto"/>
              <w:left w:val="nil"/>
              <w:bottom w:val="double" w:sz="4" w:space="0" w:color="auto"/>
              <w:right w:val="nil"/>
            </w:tcBorders>
            <w:shd w:val="clear" w:color="auto" w:fill="auto"/>
            <w:noWrap/>
            <w:vAlign w:val="bottom"/>
          </w:tcPr>
          <w:p w14:paraId="2ACBF577" w14:textId="77E7D434" w:rsidR="00995233" w:rsidRPr="00EC690A" w:rsidRDefault="00995233" w:rsidP="00995233">
            <w:pPr>
              <w:jc w:val="right"/>
              <w:rPr>
                <w:b/>
                <w:bCs/>
                <w:color w:val="000000"/>
                <w:sz w:val="18"/>
                <w:szCs w:val="18"/>
                <w:lang w:eastAsia="en-GB"/>
              </w:rPr>
            </w:pPr>
            <w:r>
              <w:rPr>
                <w:b/>
                <w:bCs/>
                <w:color w:val="000000"/>
                <w:sz w:val="18"/>
                <w:szCs w:val="18"/>
                <w:lang w:eastAsia="en-GB"/>
              </w:rPr>
              <w:t>(88)</w:t>
            </w:r>
          </w:p>
        </w:tc>
        <w:tc>
          <w:tcPr>
            <w:tcW w:w="419" w:type="pct"/>
            <w:tcBorders>
              <w:top w:val="single" w:sz="4" w:space="0" w:color="auto"/>
              <w:left w:val="nil"/>
              <w:bottom w:val="double" w:sz="4" w:space="0" w:color="auto"/>
              <w:right w:val="nil"/>
            </w:tcBorders>
            <w:shd w:val="clear" w:color="auto" w:fill="auto"/>
            <w:noWrap/>
            <w:vAlign w:val="bottom"/>
          </w:tcPr>
          <w:p w14:paraId="6D94B0AB" w14:textId="58CD9A7E" w:rsidR="00995233" w:rsidRPr="00EC690A" w:rsidRDefault="00995233" w:rsidP="00995233">
            <w:pPr>
              <w:jc w:val="right"/>
              <w:rPr>
                <w:b/>
                <w:bCs/>
                <w:color w:val="000000"/>
                <w:sz w:val="18"/>
                <w:szCs w:val="18"/>
                <w:lang w:eastAsia="en-GB"/>
              </w:rPr>
            </w:pPr>
            <w:r>
              <w:rPr>
                <w:b/>
                <w:bCs/>
                <w:color w:val="000000"/>
                <w:sz w:val="18"/>
                <w:szCs w:val="18"/>
                <w:lang w:eastAsia="en-GB"/>
              </w:rPr>
              <w:t>(86,569)</w:t>
            </w:r>
          </w:p>
        </w:tc>
        <w:tc>
          <w:tcPr>
            <w:tcW w:w="441" w:type="pct"/>
            <w:tcBorders>
              <w:top w:val="single" w:sz="4" w:space="0" w:color="auto"/>
              <w:left w:val="nil"/>
              <w:bottom w:val="double" w:sz="4" w:space="0" w:color="auto"/>
              <w:right w:val="nil"/>
            </w:tcBorders>
            <w:shd w:val="clear" w:color="auto" w:fill="auto"/>
            <w:noWrap/>
            <w:vAlign w:val="bottom"/>
          </w:tcPr>
          <w:p w14:paraId="7C4A732C" w14:textId="6D857303" w:rsidR="00995233" w:rsidRPr="00EC690A" w:rsidRDefault="00995233" w:rsidP="00995233">
            <w:pPr>
              <w:jc w:val="right"/>
              <w:rPr>
                <w:b/>
                <w:bCs/>
                <w:color w:val="000000"/>
                <w:sz w:val="18"/>
                <w:szCs w:val="18"/>
                <w:lang w:eastAsia="en-GB"/>
              </w:rPr>
            </w:pPr>
            <w:r>
              <w:rPr>
                <w:b/>
                <w:bCs/>
                <w:color w:val="000000"/>
                <w:sz w:val="18"/>
                <w:szCs w:val="18"/>
                <w:lang w:eastAsia="en-GB"/>
              </w:rPr>
              <w:t>(7,495,430)</w:t>
            </w:r>
          </w:p>
        </w:tc>
        <w:tc>
          <w:tcPr>
            <w:tcW w:w="371" w:type="pct"/>
            <w:tcBorders>
              <w:top w:val="single" w:sz="4" w:space="0" w:color="auto"/>
              <w:left w:val="nil"/>
              <w:bottom w:val="double" w:sz="4" w:space="0" w:color="auto"/>
              <w:right w:val="nil"/>
            </w:tcBorders>
            <w:shd w:val="clear" w:color="auto" w:fill="auto"/>
            <w:noWrap/>
            <w:vAlign w:val="bottom"/>
          </w:tcPr>
          <w:p w14:paraId="4F316448" w14:textId="53BF95E4" w:rsidR="00995233" w:rsidRPr="00EC690A" w:rsidRDefault="00995233" w:rsidP="00995233">
            <w:pPr>
              <w:jc w:val="right"/>
              <w:rPr>
                <w:b/>
                <w:bCs/>
                <w:color w:val="000000"/>
                <w:sz w:val="18"/>
                <w:szCs w:val="18"/>
                <w:lang w:eastAsia="en-GB"/>
              </w:rPr>
            </w:pPr>
            <w:r>
              <w:rPr>
                <w:b/>
                <w:bCs/>
                <w:color w:val="000000"/>
                <w:sz w:val="18"/>
                <w:szCs w:val="18"/>
                <w:lang w:eastAsia="en-GB"/>
              </w:rPr>
              <w:t>(5)</w:t>
            </w:r>
          </w:p>
        </w:tc>
        <w:tc>
          <w:tcPr>
            <w:tcW w:w="437" w:type="pct"/>
            <w:tcBorders>
              <w:top w:val="single" w:sz="4" w:space="0" w:color="auto"/>
              <w:left w:val="nil"/>
              <w:bottom w:val="double" w:sz="4" w:space="0" w:color="auto"/>
              <w:right w:val="nil"/>
            </w:tcBorders>
            <w:shd w:val="clear" w:color="auto" w:fill="auto"/>
            <w:noWrap/>
            <w:vAlign w:val="bottom"/>
          </w:tcPr>
          <w:p w14:paraId="34E0FD64" w14:textId="49A682C8" w:rsidR="00995233" w:rsidRPr="00EC690A" w:rsidRDefault="00995233" w:rsidP="00995233">
            <w:pPr>
              <w:jc w:val="right"/>
              <w:rPr>
                <w:b/>
                <w:bCs/>
                <w:color w:val="000000"/>
                <w:sz w:val="18"/>
                <w:szCs w:val="18"/>
                <w:lang w:eastAsia="en-GB"/>
              </w:rPr>
            </w:pPr>
            <w:r>
              <w:rPr>
                <w:b/>
                <w:bCs/>
                <w:color w:val="000000"/>
                <w:sz w:val="18"/>
                <w:szCs w:val="18"/>
                <w:lang w:eastAsia="en-GB"/>
              </w:rPr>
              <w:t>(7,682,675)</w:t>
            </w:r>
          </w:p>
        </w:tc>
      </w:tr>
    </w:tbl>
    <w:p w14:paraId="6DC2FB51" w14:textId="4E9F4DE2" w:rsidR="007D3509" w:rsidRPr="00EC690A" w:rsidRDefault="007D3509" w:rsidP="003E719D">
      <w:pPr>
        <w:spacing w:before="240" w:after="120"/>
        <w:rPr>
          <w:sz w:val="18"/>
          <w:szCs w:val="18"/>
        </w:rPr>
      </w:pPr>
      <w:r w:rsidRPr="00EC690A">
        <w:rPr>
          <w:sz w:val="18"/>
          <w:szCs w:val="18"/>
        </w:rPr>
        <w:t>Concentration of gross premiums written by customers was as follows:</w:t>
      </w:r>
    </w:p>
    <w:tbl>
      <w:tblPr>
        <w:tblW w:w="5000" w:type="pct"/>
        <w:tblLook w:val="04A0" w:firstRow="1" w:lastRow="0" w:firstColumn="1" w:lastColumn="0" w:noHBand="0" w:noVBand="1"/>
      </w:tblPr>
      <w:tblGrid>
        <w:gridCol w:w="7280"/>
        <w:gridCol w:w="1636"/>
        <w:gridCol w:w="1541"/>
        <w:gridCol w:w="1678"/>
        <w:gridCol w:w="1823"/>
      </w:tblGrid>
      <w:tr w:rsidR="007D3509" w:rsidRPr="00EC690A" w14:paraId="7B56330F" w14:textId="77777777" w:rsidTr="003E719D">
        <w:trPr>
          <w:trHeight w:val="279"/>
        </w:trPr>
        <w:tc>
          <w:tcPr>
            <w:tcW w:w="2608" w:type="pct"/>
            <w:tcBorders>
              <w:top w:val="nil"/>
              <w:left w:val="nil"/>
              <w:bottom w:val="single" w:sz="4" w:space="0" w:color="auto"/>
              <w:right w:val="nil"/>
            </w:tcBorders>
            <w:shd w:val="clear" w:color="auto" w:fill="auto"/>
            <w:vAlign w:val="bottom"/>
          </w:tcPr>
          <w:p w14:paraId="69FBA84F" w14:textId="77777777" w:rsidR="007D3509" w:rsidRPr="00EC690A" w:rsidRDefault="007D3509" w:rsidP="00C4197C">
            <w:pPr>
              <w:jc w:val="center"/>
              <w:rPr>
                <w:color w:val="000000"/>
                <w:sz w:val="18"/>
                <w:szCs w:val="18"/>
                <w:lang w:eastAsia="en-GB"/>
              </w:rPr>
            </w:pPr>
          </w:p>
        </w:tc>
        <w:tc>
          <w:tcPr>
            <w:tcW w:w="586" w:type="pct"/>
            <w:tcBorders>
              <w:top w:val="nil"/>
              <w:left w:val="nil"/>
              <w:bottom w:val="single" w:sz="4" w:space="0" w:color="auto"/>
              <w:right w:val="nil"/>
            </w:tcBorders>
            <w:shd w:val="clear" w:color="auto" w:fill="auto"/>
            <w:vAlign w:val="bottom"/>
          </w:tcPr>
          <w:p w14:paraId="7674DE4D" w14:textId="77777777" w:rsidR="007D3509" w:rsidRDefault="007D3509" w:rsidP="00C4197C">
            <w:pPr>
              <w:jc w:val="right"/>
              <w:rPr>
                <w:b/>
                <w:bCs/>
                <w:color w:val="000000"/>
                <w:sz w:val="18"/>
                <w:szCs w:val="18"/>
                <w:lang w:eastAsia="en-GB"/>
              </w:rPr>
            </w:pPr>
          </w:p>
        </w:tc>
        <w:tc>
          <w:tcPr>
            <w:tcW w:w="552" w:type="pct"/>
            <w:tcBorders>
              <w:top w:val="nil"/>
              <w:left w:val="nil"/>
              <w:bottom w:val="single" w:sz="4" w:space="0" w:color="auto"/>
              <w:right w:val="nil"/>
            </w:tcBorders>
            <w:vAlign w:val="bottom"/>
          </w:tcPr>
          <w:p w14:paraId="7C81169F" w14:textId="5FC31BAF" w:rsidR="007D3509" w:rsidRPr="00ED4A6C" w:rsidRDefault="007D3509" w:rsidP="00C4197C">
            <w:pPr>
              <w:jc w:val="right"/>
              <w:rPr>
                <w:b/>
                <w:bCs/>
                <w:color w:val="000000"/>
                <w:sz w:val="18"/>
                <w:szCs w:val="18"/>
                <w:lang w:eastAsia="en-GB"/>
              </w:rPr>
            </w:pPr>
            <w:r w:rsidRPr="00ED4A6C">
              <w:rPr>
                <w:b/>
                <w:bCs/>
                <w:color w:val="000000"/>
                <w:sz w:val="18"/>
                <w:szCs w:val="18"/>
                <w:lang w:eastAsia="en-GB"/>
              </w:rPr>
              <w:t>2019</w:t>
            </w:r>
          </w:p>
        </w:tc>
        <w:tc>
          <w:tcPr>
            <w:tcW w:w="601" w:type="pct"/>
            <w:tcBorders>
              <w:top w:val="nil"/>
              <w:left w:val="nil"/>
              <w:bottom w:val="single" w:sz="4" w:space="0" w:color="auto"/>
              <w:right w:val="nil"/>
            </w:tcBorders>
            <w:shd w:val="clear" w:color="auto" w:fill="auto"/>
            <w:vAlign w:val="bottom"/>
          </w:tcPr>
          <w:p w14:paraId="7F4DCC44" w14:textId="77777777" w:rsidR="007D3509" w:rsidRPr="00ED4A6C" w:rsidRDefault="007D3509" w:rsidP="00C4197C">
            <w:pPr>
              <w:jc w:val="right"/>
              <w:rPr>
                <w:color w:val="000000"/>
                <w:sz w:val="18"/>
                <w:szCs w:val="18"/>
                <w:lang w:eastAsia="en-GB"/>
              </w:rPr>
            </w:pPr>
          </w:p>
        </w:tc>
        <w:tc>
          <w:tcPr>
            <w:tcW w:w="653" w:type="pct"/>
            <w:tcBorders>
              <w:top w:val="nil"/>
              <w:left w:val="nil"/>
              <w:bottom w:val="single" w:sz="4" w:space="0" w:color="auto"/>
              <w:right w:val="nil"/>
            </w:tcBorders>
            <w:shd w:val="clear" w:color="auto" w:fill="auto"/>
            <w:vAlign w:val="bottom"/>
          </w:tcPr>
          <w:p w14:paraId="66A24C4E" w14:textId="3CA7A443" w:rsidR="007D3509" w:rsidRPr="00ED4A6C" w:rsidRDefault="007D3509" w:rsidP="00C4197C">
            <w:pPr>
              <w:jc w:val="right"/>
              <w:rPr>
                <w:color w:val="000000"/>
                <w:sz w:val="18"/>
                <w:szCs w:val="18"/>
                <w:lang w:eastAsia="en-GB"/>
              </w:rPr>
            </w:pPr>
            <w:r w:rsidRPr="00ED4A6C">
              <w:rPr>
                <w:color w:val="000000"/>
                <w:sz w:val="18"/>
                <w:szCs w:val="18"/>
                <w:lang w:eastAsia="en-GB"/>
              </w:rPr>
              <w:t>2018</w:t>
            </w:r>
          </w:p>
        </w:tc>
      </w:tr>
      <w:tr w:rsidR="007D3509" w:rsidRPr="00EC690A" w14:paraId="465F0021" w14:textId="77777777" w:rsidTr="003E719D">
        <w:trPr>
          <w:trHeight w:val="415"/>
        </w:trPr>
        <w:tc>
          <w:tcPr>
            <w:tcW w:w="2608" w:type="pct"/>
            <w:tcBorders>
              <w:top w:val="nil"/>
              <w:left w:val="nil"/>
              <w:bottom w:val="single" w:sz="4" w:space="0" w:color="auto"/>
              <w:right w:val="nil"/>
            </w:tcBorders>
            <w:shd w:val="clear" w:color="auto" w:fill="auto"/>
            <w:vAlign w:val="bottom"/>
            <w:hideMark/>
          </w:tcPr>
          <w:p w14:paraId="379E39D7" w14:textId="77777777" w:rsidR="007D3509" w:rsidRPr="00EC690A" w:rsidRDefault="007D3509" w:rsidP="00C4197C">
            <w:pPr>
              <w:jc w:val="center"/>
              <w:rPr>
                <w:color w:val="000000"/>
                <w:sz w:val="18"/>
                <w:szCs w:val="18"/>
                <w:lang w:eastAsia="en-GB"/>
              </w:rPr>
            </w:pPr>
            <w:r w:rsidRPr="00EC690A">
              <w:rPr>
                <w:color w:val="000000"/>
                <w:sz w:val="18"/>
                <w:szCs w:val="18"/>
                <w:lang w:eastAsia="en-GB"/>
              </w:rPr>
              <w:t> </w:t>
            </w:r>
          </w:p>
        </w:tc>
        <w:tc>
          <w:tcPr>
            <w:tcW w:w="586" w:type="pct"/>
            <w:tcBorders>
              <w:top w:val="nil"/>
              <w:left w:val="nil"/>
              <w:bottom w:val="single" w:sz="4" w:space="0" w:color="auto"/>
              <w:right w:val="nil"/>
            </w:tcBorders>
            <w:shd w:val="clear" w:color="auto" w:fill="auto"/>
            <w:vAlign w:val="bottom"/>
            <w:hideMark/>
          </w:tcPr>
          <w:p w14:paraId="4C1DCE49" w14:textId="2F0BE04B" w:rsidR="007D3509" w:rsidRPr="00ED4A6C" w:rsidRDefault="007D3509" w:rsidP="00C4197C">
            <w:pPr>
              <w:jc w:val="right"/>
              <w:rPr>
                <w:b/>
                <w:bCs/>
                <w:color w:val="000000"/>
                <w:sz w:val="18"/>
                <w:szCs w:val="18"/>
                <w:lang w:eastAsia="en-GB"/>
              </w:rPr>
            </w:pPr>
            <w:r w:rsidRPr="00ED4A6C">
              <w:rPr>
                <w:b/>
                <w:bCs/>
                <w:color w:val="000000"/>
                <w:sz w:val="18"/>
                <w:szCs w:val="18"/>
                <w:lang w:eastAsia="en-GB"/>
              </w:rPr>
              <w:t>Gross written premiums</w:t>
            </w:r>
          </w:p>
        </w:tc>
        <w:tc>
          <w:tcPr>
            <w:tcW w:w="552" w:type="pct"/>
            <w:tcBorders>
              <w:top w:val="nil"/>
              <w:left w:val="nil"/>
              <w:bottom w:val="single" w:sz="4" w:space="0" w:color="auto"/>
              <w:right w:val="nil"/>
            </w:tcBorders>
            <w:vAlign w:val="bottom"/>
          </w:tcPr>
          <w:p w14:paraId="2E7FB6EA" w14:textId="2C75646D" w:rsidR="007D3509" w:rsidRPr="00ED4A6C" w:rsidRDefault="007D3509" w:rsidP="00C4197C">
            <w:pPr>
              <w:jc w:val="right"/>
              <w:rPr>
                <w:b/>
                <w:bCs/>
                <w:color w:val="000000"/>
                <w:sz w:val="18"/>
                <w:szCs w:val="18"/>
                <w:lang w:eastAsia="en-GB"/>
              </w:rPr>
            </w:pPr>
            <w:r w:rsidRPr="00ED4A6C">
              <w:rPr>
                <w:b/>
                <w:bCs/>
                <w:color w:val="000000"/>
                <w:sz w:val="18"/>
                <w:szCs w:val="18"/>
                <w:lang w:eastAsia="en-GB"/>
              </w:rPr>
              <w:t>Percentage of total</w:t>
            </w:r>
          </w:p>
        </w:tc>
        <w:tc>
          <w:tcPr>
            <w:tcW w:w="601" w:type="pct"/>
            <w:tcBorders>
              <w:top w:val="nil"/>
              <w:left w:val="nil"/>
              <w:bottom w:val="single" w:sz="4" w:space="0" w:color="auto"/>
              <w:right w:val="nil"/>
            </w:tcBorders>
            <w:shd w:val="clear" w:color="auto" w:fill="auto"/>
            <w:vAlign w:val="bottom"/>
            <w:hideMark/>
          </w:tcPr>
          <w:p w14:paraId="14AE379F" w14:textId="047391A9" w:rsidR="007D3509" w:rsidRPr="00ED4A6C" w:rsidRDefault="007D3509" w:rsidP="00C4197C">
            <w:pPr>
              <w:jc w:val="right"/>
              <w:rPr>
                <w:color w:val="000000"/>
                <w:sz w:val="18"/>
                <w:szCs w:val="18"/>
                <w:lang w:eastAsia="en-GB"/>
              </w:rPr>
            </w:pPr>
            <w:r w:rsidRPr="00ED4A6C">
              <w:rPr>
                <w:color w:val="000000"/>
                <w:sz w:val="18"/>
                <w:szCs w:val="18"/>
                <w:lang w:eastAsia="en-GB"/>
              </w:rPr>
              <w:t>Gross written premiums</w:t>
            </w:r>
          </w:p>
        </w:tc>
        <w:tc>
          <w:tcPr>
            <w:tcW w:w="653" w:type="pct"/>
            <w:tcBorders>
              <w:top w:val="nil"/>
              <w:left w:val="nil"/>
              <w:bottom w:val="single" w:sz="4" w:space="0" w:color="auto"/>
              <w:right w:val="nil"/>
            </w:tcBorders>
            <w:shd w:val="clear" w:color="auto" w:fill="auto"/>
            <w:vAlign w:val="bottom"/>
            <w:hideMark/>
          </w:tcPr>
          <w:p w14:paraId="6C579C3E" w14:textId="77777777" w:rsidR="00ED4A6C" w:rsidRDefault="007D3509" w:rsidP="00C4197C">
            <w:pPr>
              <w:jc w:val="right"/>
              <w:rPr>
                <w:color w:val="000000"/>
                <w:sz w:val="18"/>
                <w:szCs w:val="18"/>
                <w:lang w:eastAsia="en-GB"/>
              </w:rPr>
            </w:pPr>
            <w:r w:rsidRPr="00ED4A6C">
              <w:rPr>
                <w:color w:val="000000"/>
                <w:sz w:val="18"/>
                <w:szCs w:val="18"/>
                <w:lang w:eastAsia="en-GB"/>
              </w:rPr>
              <w:t xml:space="preserve">Percentage of </w:t>
            </w:r>
          </w:p>
          <w:p w14:paraId="7A9878CB" w14:textId="00D7A813" w:rsidR="007D3509" w:rsidRPr="00ED4A6C" w:rsidRDefault="007D3509" w:rsidP="00C4197C">
            <w:pPr>
              <w:jc w:val="right"/>
              <w:rPr>
                <w:color w:val="000000"/>
                <w:sz w:val="18"/>
                <w:szCs w:val="18"/>
                <w:lang w:eastAsia="en-GB"/>
              </w:rPr>
            </w:pPr>
            <w:r w:rsidRPr="00ED4A6C">
              <w:rPr>
                <w:color w:val="000000"/>
                <w:sz w:val="18"/>
                <w:szCs w:val="18"/>
                <w:lang w:eastAsia="en-GB"/>
              </w:rPr>
              <w:t>total</w:t>
            </w:r>
          </w:p>
        </w:tc>
      </w:tr>
      <w:tr w:rsidR="007D3509" w:rsidRPr="00EC690A" w14:paraId="5BC9E85B" w14:textId="77777777" w:rsidTr="007D3509">
        <w:trPr>
          <w:trHeight w:val="300"/>
        </w:trPr>
        <w:tc>
          <w:tcPr>
            <w:tcW w:w="2608" w:type="pct"/>
            <w:tcBorders>
              <w:top w:val="nil"/>
              <w:left w:val="nil"/>
              <w:bottom w:val="nil"/>
              <w:right w:val="nil"/>
            </w:tcBorders>
            <w:shd w:val="clear" w:color="auto" w:fill="auto"/>
            <w:noWrap/>
            <w:vAlign w:val="bottom"/>
            <w:hideMark/>
          </w:tcPr>
          <w:p w14:paraId="4594B98B" w14:textId="46B0F610" w:rsidR="007D3509" w:rsidRPr="00EC690A" w:rsidRDefault="007D3509" w:rsidP="00C4197C">
            <w:pPr>
              <w:rPr>
                <w:color w:val="000000"/>
                <w:sz w:val="18"/>
                <w:szCs w:val="18"/>
                <w:lang w:eastAsia="en-GB"/>
              </w:rPr>
            </w:pPr>
            <w:r>
              <w:rPr>
                <w:color w:val="000000"/>
                <w:sz w:val="18"/>
                <w:szCs w:val="18"/>
                <w:lang w:eastAsia="en-GB"/>
              </w:rPr>
              <w:t>BP Exploration (Caspian Sea) Limited</w:t>
            </w:r>
          </w:p>
        </w:tc>
        <w:tc>
          <w:tcPr>
            <w:tcW w:w="586" w:type="pct"/>
            <w:tcBorders>
              <w:top w:val="nil"/>
              <w:left w:val="nil"/>
              <w:bottom w:val="nil"/>
              <w:right w:val="nil"/>
            </w:tcBorders>
            <w:shd w:val="clear" w:color="auto" w:fill="auto"/>
            <w:noWrap/>
            <w:vAlign w:val="bottom"/>
          </w:tcPr>
          <w:p w14:paraId="759EF53D" w14:textId="291E8474" w:rsidR="007D3509" w:rsidRPr="00ED4A6C" w:rsidRDefault="003E719D" w:rsidP="00C4197C">
            <w:pPr>
              <w:jc w:val="right"/>
              <w:rPr>
                <w:b/>
                <w:bCs/>
                <w:color w:val="000000"/>
                <w:sz w:val="18"/>
                <w:szCs w:val="18"/>
                <w:lang w:eastAsia="en-GB"/>
              </w:rPr>
            </w:pPr>
            <w:r>
              <w:rPr>
                <w:b/>
                <w:bCs/>
                <w:color w:val="000000"/>
                <w:sz w:val="18"/>
                <w:szCs w:val="18"/>
                <w:lang w:eastAsia="en-GB"/>
              </w:rPr>
              <w:t>5,420,658</w:t>
            </w:r>
          </w:p>
        </w:tc>
        <w:tc>
          <w:tcPr>
            <w:tcW w:w="552" w:type="pct"/>
            <w:tcBorders>
              <w:top w:val="nil"/>
              <w:left w:val="nil"/>
              <w:bottom w:val="nil"/>
              <w:right w:val="nil"/>
            </w:tcBorders>
            <w:vAlign w:val="bottom"/>
          </w:tcPr>
          <w:p w14:paraId="6E332D01" w14:textId="41CE5353" w:rsidR="007D3509" w:rsidRPr="00ED4A6C" w:rsidRDefault="003E719D" w:rsidP="00C4197C">
            <w:pPr>
              <w:jc w:val="right"/>
              <w:rPr>
                <w:b/>
                <w:bCs/>
                <w:color w:val="000000"/>
                <w:sz w:val="18"/>
                <w:szCs w:val="18"/>
              </w:rPr>
            </w:pPr>
            <w:r>
              <w:rPr>
                <w:b/>
                <w:bCs/>
                <w:color w:val="000000"/>
                <w:sz w:val="18"/>
                <w:szCs w:val="18"/>
              </w:rPr>
              <w:t>36.60%</w:t>
            </w:r>
          </w:p>
        </w:tc>
        <w:tc>
          <w:tcPr>
            <w:tcW w:w="601" w:type="pct"/>
            <w:tcBorders>
              <w:top w:val="nil"/>
              <w:left w:val="nil"/>
              <w:bottom w:val="nil"/>
              <w:right w:val="nil"/>
            </w:tcBorders>
            <w:shd w:val="clear" w:color="auto" w:fill="auto"/>
            <w:noWrap/>
            <w:vAlign w:val="bottom"/>
          </w:tcPr>
          <w:p w14:paraId="53E6C45B" w14:textId="6E148CB9" w:rsidR="007D3509" w:rsidRPr="00ED4A6C" w:rsidRDefault="007D3509" w:rsidP="00C4197C">
            <w:pPr>
              <w:jc w:val="right"/>
              <w:rPr>
                <w:color w:val="000000"/>
                <w:sz w:val="18"/>
                <w:szCs w:val="18"/>
                <w:lang w:eastAsia="en-GB"/>
              </w:rPr>
            </w:pPr>
            <w:r w:rsidRPr="00ED4A6C">
              <w:rPr>
                <w:color w:val="000000"/>
                <w:sz w:val="18"/>
                <w:szCs w:val="18"/>
                <w:lang w:eastAsia="en-GB"/>
              </w:rPr>
              <w:t>5,408,649</w:t>
            </w:r>
          </w:p>
        </w:tc>
        <w:tc>
          <w:tcPr>
            <w:tcW w:w="653" w:type="pct"/>
            <w:tcBorders>
              <w:top w:val="nil"/>
              <w:left w:val="nil"/>
              <w:bottom w:val="nil"/>
              <w:right w:val="nil"/>
            </w:tcBorders>
            <w:shd w:val="clear" w:color="auto" w:fill="auto"/>
            <w:noWrap/>
            <w:vAlign w:val="bottom"/>
          </w:tcPr>
          <w:p w14:paraId="5707A821" w14:textId="6A41464D" w:rsidR="007D3509" w:rsidRPr="00ED4A6C" w:rsidRDefault="00CC6FD6" w:rsidP="00C4197C">
            <w:pPr>
              <w:jc w:val="right"/>
              <w:rPr>
                <w:color w:val="000000"/>
                <w:sz w:val="18"/>
                <w:szCs w:val="18"/>
                <w:lang w:eastAsia="en-GB"/>
              </w:rPr>
            </w:pPr>
            <w:r>
              <w:rPr>
                <w:color w:val="000000"/>
                <w:sz w:val="18"/>
                <w:szCs w:val="18"/>
                <w:lang w:eastAsia="en-GB"/>
              </w:rPr>
              <w:t>41.80</w:t>
            </w:r>
            <w:r w:rsidR="007D3509" w:rsidRPr="00ED4A6C">
              <w:rPr>
                <w:color w:val="000000"/>
                <w:sz w:val="18"/>
                <w:szCs w:val="18"/>
                <w:lang w:eastAsia="en-GB"/>
              </w:rPr>
              <w:t>%</w:t>
            </w:r>
          </w:p>
        </w:tc>
      </w:tr>
      <w:tr w:rsidR="007D3509" w:rsidRPr="00CE02C0" w14:paraId="7CAF47CE" w14:textId="77777777" w:rsidTr="003E719D">
        <w:trPr>
          <w:trHeight w:val="147"/>
        </w:trPr>
        <w:tc>
          <w:tcPr>
            <w:tcW w:w="2608" w:type="pct"/>
            <w:tcBorders>
              <w:top w:val="nil"/>
              <w:left w:val="nil"/>
              <w:bottom w:val="nil"/>
              <w:right w:val="nil"/>
            </w:tcBorders>
            <w:shd w:val="clear" w:color="auto" w:fill="auto"/>
            <w:noWrap/>
            <w:vAlign w:val="bottom"/>
          </w:tcPr>
          <w:p w14:paraId="23F46B22" w14:textId="44F653F8" w:rsidR="007D3509" w:rsidRDefault="007D3509" w:rsidP="00C4197C">
            <w:pPr>
              <w:rPr>
                <w:color w:val="000000"/>
                <w:sz w:val="18"/>
                <w:szCs w:val="18"/>
                <w:lang w:eastAsia="en-GB"/>
              </w:rPr>
            </w:pPr>
            <w:proofErr w:type="spellStart"/>
            <w:r>
              <w:rPr>
                <w:color w:val="000000"/>
                <w:sz w:val="18"/>
                <w:szCs w:val="18"/>
                <w:lang w:eastAsia="en-GB"/>
              </w:rPr>
              <w:t>Azercell</w:t>
            </w:r>
            <w:proofErr w:type="spellEnd"/>
            <w:r>
              <w:rPr>
                <w:color w:val="000000"/>
                <w:sz w:val="18"/>
                <w:szCs w:val="18"/>
                <w:lang w:eastAsia="en-GB"/>
              </w:rPr>
              <w:t xml:space="preserve"> </w:t>
            </w:r>
            <w:proofErr w:type="spellStart"/>
            <w:r>
              <w:rPr>
                <w:color w:val="000000"/>
                <w:sz w:val="18"/>
                <w:szCs w:val="18"/>
                <w:lang w:eastAsia="en-GB"/>
              </w:rPr>
              <w:t>Telecome</w:t>
            </w:r>
            <w:proofErr w:type="spellEnd"/>
          </w:p>
        </w:tc>
        <w:tc>
          <w:tcPr>
            <w:tcW w:w="586" w:type="pct"/>
            <w:tcBorders>
              <w:top w:val="nil"/>
              <w:left w:val="nil"/>
              <w:bottom w:val="nil"/>
              <w:right w:val="nil"/>
            </w:tcBorders>
            <w:shd w:val="clear" w:color="auto" w:fill="auto"/>
            <w:noWrap/>
            <w:vAlign w:val="bottom"/>
          </w:tcPr>
          <w:p w14:paraId="72BEBD55" w14:textId="0B5FBE03" w:rsidR="007D3509" w:rsidRPr="00ED4A6C" w:rsidRDefault="003E719D" w:rsidP="00C4197C">
            <w:pPr>
              <w:jc w:val="right"/>
              <w:rPr>
                <w:b/>
                <w:bCs/>
                <w:color w:val="000000"/>
                <w:sz w:val="18"/>
                <w:szCs w:val="18"/>
                <w:lang w:eastAsia="en-GB"/>
              </w:rPr>
            </w:pPr>
            <w:r>
              <w:rPr>
                <w:b/>
                <w:bCs/>
                <w:color w:val="000000"/>
                <w:sz w:val="18"/>
                <w:szCs w:val="18"/>
                <w:lang w:eastAsia="en-GB"/>
              </w:rPr>
              <w:t>1,531,411</w:t>
            </w:r>
          </w:p>
        </w:tc>
        <w:tc>
          <w:tcPr>
            <w:tcW w:w="552" w:type="pct"/>
            <w:tcBorders>
              <w:top w:val="nil"/>
              <w:left w:val="nil"/>
              <w:bottom w:val="nil"/>
              <w:right w:val="nil"/>
            </w:tcBorders>
            <w:vAlign w:val="bottom"/>
          </w:tcPr>
          <w:p w14:paraId="1A7258BF" w14:textId="7331DE41" w:rsidR="007D3509" w:rsidRPr="00ED4A6C" w:rsidRDefault="003E719D" w:rsidP="00C4197C">
            <w:pPr>
              <w:jc w:val="right"/>
              <w:rPr>
                <w:b/>
                <w:bCs/>
                <w:color w:val="000000"/>
                <w:sz w:val="18"/>
                <w:szCs w:val="18"/>
              </w:rPr>
            </w:pPr>
            <w:r>
              <w:rPr>
                <w:b/>
                <w:bCs/>
                <w:color w:val="000000"/>
                <w:sz w:val="18"/>
                <w:szCs w:val="18"/>
              </w:rPr>
              <w:t>10.34%</w:t>
            </w:r>
          </w:p>
        </w:tc>
        <w:tc>
          <w:tcPr>
            <w:tcW w:w="601" w:type="pct"/>
            <w:tcBorders>
              <w:top w:val="nil"/>
              <w:left w:val="nil"/>
              <w:bottom w:val="nil"/>
              <w:right w:val="nil"/>
            </w:tcBorders>
            <w:shd w:val="clear" w:color="auto" w:fill="auto"/>
            <w:noWrap/>
            <w:vAlign w:val="bottom"/>
          </w:tcPr>
          <w:p w14:paraId="2FC35C66" w14:textId="59FA94C7" w:rsidR="007D3509" w:rsidRPr="00CE02C0" w:rsidRDefault="007D3509" w:rsidP="00C4197C">
            <w:pPr>
              <w:jc w:val="right"/>
              <w:rPr>
                <w:color w:val="000000"/>
                <w:sz w:val="18"/>
                <w:szCs w:val="18"/>
                <w:lang w:eastAsia="en-GB"/>
              </w:rPr>
            </w:pPr>
            <w:r w:rsidRPr="00CE02C0">
              <w:rPr>
                <w:color w:val="000000"/>
                <w:sz w:val="18"/>
                <w:szCs w:val="18"/>
                <w:lang w:eastAsia="en-GB"/>
              </w:rPr>
              <w:t>1,439,661</w:t>
            </w:r>
          </w:p>
        </w:tc>
        <w:tc>
          <w:tcPr>
            <w:tcW w:w="653" w:type="pct"/>
            <w:tcBorders>
              <w:top w:val="nil"/>
              <w:left w:val="nil"/>
              <w:bottom w:val="nil"/>
              <w:right w:val="nil"/>
            </w:tcBorders>
            <w:shd w:val="clear" w:color="auto" w:fill="auto"/>
            <w:noWrap/>
            <w:vAlign w:val="bottom"/>
          </w:tcPr>
          <w:p w14:paraId="74BC73B1" w14:textId="3A5EE4E2" w:rsidR="007D3509" w:rsidRPr="00CE02C0" w:rsidRDefault="007D3509" w:rsidP="00C4197C">
            <w:pPr>
              <w:jc w:val="right"/>
              <w:rPr>
                <w:color w:val="000000"/>
                <w:sz w:val="18"/>
                <w:szCs w:val="18"/>
                <w:lang w:eastAsia="en-GB"/>
              </w:rPr>
            </w:pPr>
            <w:r w:rsidRPr="00CE02C0">
              <w:rPr>
                <w:color w:val="000000"/>
                <w:sz w:val="18"/>
                <w:szCs w:val="18"/>
                <w:lang w:eastAsia="en-GB"/>
              </w:rPr>
              <w:t>11.</w:t>
            </w:r>
            <w:r w:rsidR="00CC6FD6" w:rsidRPr="00CE02C0">
              <w:rPr>
                <w:color w:val="000000"/>
                <w:sz w:val="18"/>
                <w:szCs w:val="18"/>
                <w:lang w:eastAsia="en-GB"/>
              </w:rPr>
              <w:t>13</w:t>
            </w:r>
            <w:r w:rsidRPr="00CE02C0">
              <w:rPr>
                <w:color w:val="000000"/>
                <w:sz w:val="18"/>
                <w:szCs w:val="18"/>
                <w:lang w:eastAsia="en-GB"/>
              </w:rPr>
              <w:t>%</w:t>
            </w:r>
          </w:p>
        </w:tc>
      </w:tr>
      <w:tr w:rsidR="003E719D" w:rsidRPr="00CE02C0" w14:paraId="0DD839B0" w14:textId="77777777" w:rsidTr="003E719D">
        <w:trPr>
          <w:trHeight w:val="236"/>
        </w:trPr>
        <w:tc>
          <w:tcPr>
            <w:tcW w:w="2608" w:type="pct"/>
            <w:tcBorders>
              <w:top w:val="nil"/>
              <w:left w:val="nil"/>
              <w:bottom w:val="nil"/>
              <w:right w:val="nil"/>
            </w:tcBorders>
            <w:shd w:val="clear" w:color="auto" w:fill="auto"/>
            <w:noWrap/>
            <w:vAlign w:val="bottom"/>
          </w:tcPr>
          <w:p w14:paraId="598A3C3D" w14:textId="62369FCC" w:rsidR="003E719D" w:rsidRDefault="003E719D" w:rsidP="00C4197C">
            <w:pPr>
              <w:rPr>
                <w:color w:val="000000"/>
                <w:sz w:val="18"/>
                <w:szCs w:val="18"/>
                <w:lang w:eastAsia="en-GB"/>
              </w:rPr>
            </w:pPr>
            <w:proofErr w:type="spellStart"/>
            <w:r w:rsidRPr="003E719D">
              <w:rPr>
                <w:color w:val="000000"/>
                <w:sz w:val="18"/>
                <w:szCs w:val="18"/>
                <w:lang w:eastAsia="en-GB"/>
              </w:rPr>
              <w:t>Azerbaycan</w:t>
            </w:r>
            <w:proofErr w:type="spellEnd"/>
            <w:r w:rsidRPr="003E719D">
              <w:rPr>
                <w:color w:val="000000"/>
                <w:sz w:val="18"/>
                <w:szCs w:val="18"/>
                <w:lang w:eastAsia="en-GB"/>
              </w:rPr>
              <w:t xml:space="preserve"> </w:t>
            </w:r>
            <w:proofErr w:type="spellStart"/>
            <w:r w:rsidRPr="003E719D">
              <w:rPr>
                <w:color w:val="000000"/>
                <w:sz w:val="18"/>
                <w:szCs w:val="18"/>
                <w:lang w:eastAsia="en-GB"/>
              </w:rPr>
              <w:t>Beynalxalq</w:t>
            </w:r>
            <w:proofErr w:type="spellEnd"/>
            <w:r w:rsidRPr="003E719D">
              <w:rPr>
                <w:color w:val="000000"/>
                <w:sz w:val="18"/>
                <w:szCs w:val="18"/>
                <w:lang w:eastAsia="en-GB"/>
              </w:rPr>
              <w:t xml:space="preserve"> </w:t>
            </w:r>
            <w:proofErr w:type="spellStart"/>
            <w:r w:rsidRPr="003E719D">
              <w:rPr>
                <w:color w:val="000000"/>
                <w:sz w:val="18"/>
                <w:szCs w:val="18"/>
                <w:lang w:eastAsia="en-GB"/>
              </w:rPr>
              <w:t>Banki</w:t>
            </w:r>
            <w:proofErr w:type="spellEnd"/>
          </w:p>
        </w:tc>
        <w:tc>
          <w:tcPr>
            <w:tcW w:w="586" w:type="pct"/>
            <w:tcBorders>
              <w:top w:val="nil"/>
              <w:left w:val="nil"/>
              <w:bottom w:val="nil"/>
              <w:right w:val="nil"/>
            </w:tcBorders>
            <w:shd w:val="clear" w:color="auto" w:fill="auto"/>
            <w:noWrap/>
            <w:vAlign w:val="bottom"/>
          </w:tcPr>
          <w:p w14:paraId="2735DCE2" w14:textId="37E4B8A1" w:rsidR="003E719D" w:rsidRPr="00ED4A6C" w:rsidRDefault="003E719D" w:rsidP="00C4197C">
            <w:pPr>
              <w:jc w:val="right"/>
              <w:rPr>
                <w:b/>
                <w:bCs/>
                <w:color w:val="000000"/>
                <w:sz w:val="18"/>
                <w:szCs w:val="18"/>
                <w:lang w:eastAsia="en-GB"/>
              </w:rPr>
            </w:pPr>
            <w:r>
              <w:rPr>
                <w:b/>
                <w:bCs/>
                <w:color w:val="000000"/>
                <w:sz w:val="18"/>
                <w:szCs w:val="18"/>
                <w:lang w:eastAsia="en-GB"/>
              </w:rPr>
              <w:t>571,231</w:t>
            </w:r>
          </w:p>
        </w:tc>
        <w:tc>
          <w:tcPr>
            <w:tcW w:w="552" w:type="pct"/>
            <w:tcBorders>
              <w:top w:val="nil"/>
              <w:left w:val="nil"/>
              <w:bottom w:val="nil"/>
              <w:right w:val="nil"/>
            </w:tcBorders>
            <w:vAlign w:val="bottom"/>
          </w:tcPr>
          <w:p w14:paraId="58679315" w14:textId="197C80A2" w:rsidR="003E719D" w:rsidRPr="00ED4A6C" w:rsidRDefault="003E719D" w:rsidP="00C4197C">
            <w:pPr>
              <w:jc w:val="right"/>
              <w:rPr>
                <w:b/>
                <w:bCs/>
                <w:color w:val="000000"/>
                <w:sz w:val="18"/>
                <w:szCs w:val="18"/>
              </w:rPr>
            </w:pPr>
            <w:r>
              <w:rPr>
                <w:b/>
                <w:bCs/>
                <w:color w:val="000000"/>
                <w:sz w:val="18"/>
                <w:szCs w:val="18"/>
              </w:rPr>
              <w:t>3.86%</w:t>
            </w:r>
          </w:p>
        </w:tc>
        <w:tc>
          <w:tcPr>
            <w:tcW w:w="601" w:type="pct"/>
            <w:tcBorders>
              <w:top w:val="nil"/>
              <w:left w:val="nil"/>
              <w:bottom w:val="nil"/>
              <w:right w:val="nil"/>
            </w:tcBorders>
            <w:shd w:val="clear" w:color="auto" w:fill="auto"/>
            <w:noWrap/>
            <w:vAlign w:val="bottom"/>
          </w:tcPr>
          <w:p w14:paraId="18826353" w14:textId="1348C1CF" w:rsidR="003E719D" w:rsidRPr="00CE02C0" w:rsidRDefault="00CC6FD6" w:rsidP="00C4197C">
            <w:pPr>
              <w:jc w:val="right"/>
              <w:rPr>
                <w:color w:val="000000"/>
                <w:sz w:val="18"/>
                <w:szCs w:val="18"/>
                <w:lang w:eastAsia="en-GB"/>
              </w:rPr>
            </w:pPr>
            <w:r w:rsidRPr="00CE02C0">
              <w:rPr>
                <w:color w:val="000000"/>
                <w:sz w:val="18"/>
                <w:szCs w:val="18"/>
                <w:lang w:eastAsia="en-GB"/>
              </w:rPr>
              <w:t>475,450</w:t>
            </w:r>
          </w:p>
        </w:tc>
        <w:tc>
          <w:tcPr>
            <w:tcW w:w="653" w:type="pct"/>
            <w:tcBorders>
              <w:top w:val="nil"/>
              <w:left w:val="nil"/>
              <w:bottom w:val="nil"/>
              <w:right w:val="nil"/>
            </w:tcBorders>
            <w:shd w:val="clear" w:color="auto" w:fill="auto"/>
            <w:noWrap/>
            <w:vAlign w:val="bottom"/>
          </w:tcPr>
          <w:p w14:paraId="5D2920B2" w14:textId="18370537" w:rsidR="003E719D" w:rsidRPr="00CE02C0" w:rsidRDefault="00CE02C0" w:rsidP="00C4197C">
            <w:pPr>
              <w:jc w:val="right"/>
              <w:rPr>
                <w:color w:val="000000"/>
                <w:sz w:val="18"/>
                <w:szCs w:val="18"/>
                <w:lang w:eastAsia="en-GB"/>
              </w:rPr>
            </w:pPr>
            <w:r w:rsidRPr="00CE02C0">
              <w:rPr>
                <w:color w:val="000000"/>
                <w:sz w:val="18"/>
                <w:szCs w:val="18"/>
                <w:lang w:eastAsia="en-GB"/>
              </w:rPr>
              <w:t>3.67%</w:t>
            </w:r>
          </w:p>
        </w:tc>
      </w:tr>
      <w:tr w:rsidR="007D3509" w:rsidRPr="00CE02C0" w14:paraId="7F1FFF60" w14:textId="77777777" w:rsidTr="003E719D">
        <w:trPr>
          <w:trHeight w:val="268"/>
        </w:trPr>
        <w:tc>
          <w:tcPr>
            <w:tcW w:w="2608" w:type="pct"/>
            <w:tcBorders>
              <w:top w:val="nil"/>
              <w:left w:val="nil"/>
              <w:bottom w:val="nil"/>
              <w:right w:val="nil"/>
            </w:tcBorders>
            <w:shd w:val="clear" w:color="auto" w:fill="auto"/>
            <w:noWrap/>
            <w:vAlign w:val="bottom"/>
          </w:tcPr>
          <w:p w14:paraId="30803CD1" w14:textId="649D335E" w:rsidR="007D3509" w:rsidRDefault="007D3509" w:rsidP="00C4197C">
            <w:pPr>
              <w:rPr>
                <w:color w:val="000000"/>
                <w:sz w:val="18"/>
                <w:szCs w:val="18"/>
                <w:lang w:eastAsia="en-GB"/>
              </w:rPr>
            </w:pPr>
            <w:r>
              <w:rPr>
                <w:color w:val="000000"/>
                <w:sz w:val="18"/>
                <w:szCs w:val="18"/>
                <w:lang w:eastAsia="en-GB"/>
              </w:rPr>
              <w:t xml:space="preserve">SOCAR </w:t>
            </w:r>
          </w:p>
        </w:tc>
        <w:tc>
          <w:tcPr>
            <w:tcW w:w="586" w:type="pct"/>
            <w:tcBorders>
              <w:top w:val="nil"/>
              <w:left w:val="nil"/>
              <w:bottom w:val="nil"/>
              <w:right w:val="nil"/>
            </w:tcBorders>
            <w:shd w:val="clear" w:color="auto" w:fill="auto"/>
            <w:noWrap/>
            <w:vAlign w:val="bottom"/>
          </w:tcPr>
          <w:p w14:paraId="42A9EBB4" w14:textId="5A4CE7A9" w:rsidR="007D3509" w:rsidRPr="00ED4A6C" w:rsidRDefault="003E719D" w:rsidP="00C4197C">
            <w:pPr>
              <w:jc w:val="right"/>
              <w:rPr>
                <w:b/>
                <w:bCs/>
                <w:color w:val="000000"/>
                <w:sz w:val="18"/>
                <w:szCs w:val="18"/>
                <w:lang w:eastAsia="en-GB"/>
              </w:rPr>
            </w:pPr>
            <w:r>
              <w:rPr>
                <w:b/>
                <w:bCs/>
                <w:color w:val="000000"/>
                <w:sz w:val="18"/>
                <w:szCs w:val="18"/>
                <w:lang w:eastAsia="en-GB"/>
              </w:rPr>
              <w:t>385,240</w:t>
            </w:r>
          </w:p>
        </w:tc>
        <w:tc>
          <w:tcPr>
            <w:tcW w:w="552" w:type="pct"/>
            <w:tcBorders>
              <w:top w:val="nil"/>
              <w:left w:val="nil"/>
              <w:bottom w:val="nil"/>
              <w:right w:val="nil"/>
            </w:tcBorders>
            <w:vAlign w:val="bottom"/>
          </w:tcPr>
          <w:p w14:paraId="0BC420B3" w14:textId="7D6DC02A" w:rsidR="007D3509" w:rsidRPr="00ED4A6C" w:rsidRDefault="001D4A51" w:rsidP="00C4197C">
            <w:pPr>
              <w:jc w:val="right"/>
              <w:rPr>
                <w:b/>
                <w:bCs/>
                <w:color w:val="000000"/>
                <w:sz w:val="18"/>
                <w:szCs w:val="18"/>
              </w:rPr>
            </w:pPr>
            <w:r>
              <w:rPr>
                <w:b/>
                <w:bCs/>
                <w:color w:val="000000"/>
                <w:sz w:val="18"/>
                <w:szCs w:val="18"/>
              </w:rPr>
              <w:t>2.60%</w:t>
            </w:r>
          </w:p>
        </w:tc>
        <w:tc>
          <w:tcPr>
            <w:tcW w:w="601" w:type="pct"/>
            <w:tcBorders>
              <w:top w:val="nil"/>
              <w:left w:val="nil"/>
              <w:bottom w:val="nil"/>
              <w:right w:val="nil"/>
            </w:tcBorders>
            <w:shd w:val="clear" w:color="auto" w:fill="auto"/>
            <w:noWrap/>
            <w:vAlign w:val="bottom"/>
          </w:tcPr>
          <w:p w14:paraId="7E27315D" w14:textId="01114D0B" w:rsidR="007D3509" w:rsidRPr="00CE02C0" w:rsidRDefault="007D3509" w:rsidP="00C4197C">
            <w:pPr>
              <w:jc w:val="right"/>
              <w:rPr>
                <w:color w:val="000000"/>
                <w:sz w:val="18"/>
                <w:szCs w:val="18"/>
                <w:lang w:eastAsia="en-GB"/>
              </w:rPr>
            </w:pPr>
            <w:r w:rsidRPr="00CE02C0">
              <w:rPr>
                <w:color w:val="000000"/>
                <w:sz w:val="18"/>
                <w:szCs w:val="18"/>
                <w:lang w:eastAsia="en-GB"/>
              </w:rPr>
              <w:t>477,656</w:t>
            </w:r>
          </w:p>
        </w:tc>
        <w:tc>
          <w:tcPr>
            <w:tcW w:w="653" w:type="pct"/>
            <w:tcBorders>
              <w:top w:val="nil"/>
              <w:left w:val="nil"/>
              <w:bottom w:val="nil"/>
              <w:right w:val="nil"/>
            </w:tcBorders>
            <w:shd w:val="clear" w:color="auto" w:fill="auto"/>
            <w:noWrap/>
            <w:vAlign w:val="bottom"/>
          </w:tcPr>
          <w:p w14:paraId="409DC1C8" w14:textId="482E70EB" w:rsidR="007D3509" w:rsidRPr="00CE02C0" w:rsidRDefault="00CE02C0" w:rsidP="00C4197C">
            <w:pPr>
              <w:jc w:val="right"/>
              <w:rPr>
                <w:color w:val="000000"/>
                <w:sz w:val="18"/>
                <w:szCs w:val="18"/>
                <w:lang w:eastAsia="en-GB"/>
              </w:rPr>
            </w:pPr>
            <w:r w:rsidRPr="00CE02C0">
              <w:rPr>
                <w:color w:val="000000"/>
                <w:sz w:val="18"/>
                <w:szCs w:val="18"/>
                <w:lang w:eastAsia="en-GB"/>
              </w:rPr>
              <w:t>3.69</w:t>
            </w:r>
            <w:r w:rsidR="007D3509" w:rsidRPr="00CE02C0">
              <w:rPr>
                <w:color w:val="000000"/>
                <w:sz w:val="18"/>
                <w:szCs w:val="18"/>
                <w:lang w:eastAsia="en-GB"/>
              </w:rPr>
              <w:t>%</w:t>
            </w:r>
          </w:p>
        </w:tc>
      </w:tr>
      <w:tr w:rsidR="003E719D" w:rsidRPr="00CE02C0" w14:paraId="35EF7380" w14:textId="77777777" w:rsidTr="003E719D">
        <w:trPr>
          <w:trHeight w:val="157"/>
        </w:trPr>
        <w:tc>
          <w:tcPr>
            <w:tcW w:w="2608" w:type="pct"/>
            <w:tcBorders>
              <w:top w:val="nil"/>
              <w:left w:val="nil"/>
              <w:bottom w:val="nil"/>
              <w:right w:val="nil"/>
            </w:tcBorders>
            <w:shd w:val="clear" w:color="auto" w:fill="auto"/>
            <w:noWrap/>
            <w:vAlign w:val="bottom"/>
          </w:tcPr>
          <w:p w14:paraId="1B5F16D5" w14:textId="1CB1348A" w:rsidR="003E719D" w:rsidRDefault="003E719D" w:rsidP="00C4197C">
            <w:pPr>
              <w:rPr>
                <w:color w:val="000000"/>
                <w:sz w:val="18"/>
                <w:szCs w:val="18"/>
                <w:lang w:eastAsia="en-GB"/>
              </w:rPr>
            </w:pPr>
            <w:proofErr w:type="spellStart"/>
            <w:r w:rsidRPr="003E719D">
              <w:rPr>
                <w:color w:val="000000"/>
                <w:sz w:val="18"/>
                <w:szCs w:val="18"/>
                <w:lang w:eastAsia="en-GB"/>
              </w:rPr>
              <w:t>Vud</w:t>
            </w:r>
            <w:proofErr w:type="spellEnd"/>
            <w:r w:rsidRPr="003E719D">
              <w:rPr>
                <w:color w:val="000000"/>
                <w:sz w:val="18"/>
                <w:szCs w:val="18"/>
                <w:lang w:eastAsia="en-GB"/>
              </w:rPr>
              <w:t xml:space="preserve"> </w:t>
            </w:r>
            <w:proofErr w:type="spellStart"/>
            <w:r w:rsidRPr="003E719D">
              <w:rPr>
                <w:color w:val="000000"/>
                <w:sz w:val="18"/>
                <w:szCs w:val="18"/>
                <w:lang w:eastAsia="en-GB"/>
              </w:rPr>
              <w:t>Qrup</w:t>
            </w:r>
            <w:proofErr w:type="spellEnd"/>
            <w:r w:rsidRPr="003E719D">
              <w:rPr>
                <w:color w:val="000000"/>
                <w:sz w:val="18"/>
                <w:szCs w:val="18"/>
                <w:lang w:eastAsia="en-GB"/>
              </w:rPr>
              <w:t xml:space="preserve"> PSN </w:t>
            </w:r>
            <w:proofErr w:type="spellStart"/>
            <w:r w:rsidRPr="003E719D">
              <w:rPr>
                <w:color w:val="000000"/>
                <w:sz w:val="18"/>
                <w:szCs w:val="18"/>
                <w:lang w:eastAsia="en-GB"/>
              </w:rPr>
              <w:t>Azerbaycan</w:t>
            </w:r>
            <w:proofErr w:type="spellEnd"/>
          </w:p>
        </w:tc>
        <w:tc>
          <w:tcPr>
            <w:tcW w:w="586" w:type="pct"/>
            <w:tcBorders>
              <w:top w:val="nil"/>
              <w:left w:val="nil"/>
              <w:bottom w:val="nil"/>
              <w:right w:val="nil"/>
            </w:tcBorders>
            <w:shd w:val="clear" w:color="auto" w:fill="auto"/>
            <w:noWrap/>
            <w:vAlign w:val="bottom"/>
          </w:tcPr>
          <w:p w14:paraId="29FBB296" w14:textId="4ABF9A0F" w:rsidR="003E719D" w:rsidRPr="00ED4A6C" w:rsidRDefault="003E719D" w:rsidP="00C4197C">
            <w:pPr>
              <w:jc w:val="right"/>
              <w:rPr>
                <w:b/>
                <w:bCs/>
                <w:color w:val="000000"/>
                <w:sz w:val="18"/>
                <w:szCs w:val="18"/>
                <w:lang w:eastAsia="en-GB"/>
              </w:rPr>
            </w:pPr>
            <w:r>
              <w:rPr>
                <w:b/>
                <w:bCs/>
                <w:color w:val="000000"/>
                <w:sz w:val="18"/>
                <w:szCs w:val="18"/>
                <w:lang w:eastAsia="en-GB"/>
              </w:rPr>
              <w:t>214,281</w:t>
            </w:r>
          </w:p>
        </w:tc>
        <w:tc>
          <w:tcPr>
            <w:tcW w:w="552" w:type="pct"/>
            <w:tcBorders>
              <w:top w:val="nil"/>
              <w:left w:val="nil"/>
              <w:bottom w:val="nil"/>
              <w:right w:val="nil"/>
            </w:tcBorders>
            <w:vAlign w:val="bottom"/>
          </w:tcPr>
          <w:p w14:paraId="37FEE9BA" w14:textId="28381B33" w:rsidR="003E719D" w:rsidRPr="00ED4A6C" w:rsidRDefault="001D4A51" w:rsidP="00C4197C">
            <w:pPr>
              <w:jc w:val="right"/>
              <w:rPr>
                <w:b/>
                <w:bCs/>
                <w:color w:val="000000"/>
                <w:sz w:val="18"/>
                <w:szCs w:val="18"/>
              </w:rPr>
            </w:pPr>
            <w:r>
              <w:rPr>
                <w:b/>
                <w:bCs/>
                <w:color w:val="000000"/>
                <w:sz w:val="18"/>
                <w:szCs w:val="18"/>
              </w:rPr>
              <w:t>1.45%</w:t>
            </w:r>
          </w:p>
        </w:tc>
        <w:tc>
          <w:tcPr>
            <w:tcW w:w="601" w:type="pct"/>
            <w:tcBorders>
              <w:top w:val="nil"/>
              <w:left w:val="nil"/>
              <w:bottom w:val="nil"/>
              <w:right w:val="nil"/>
            </w:tcBorders>
            <w:shd w:val="clear" w:color="auto" w:fill="auto"/>
            <w:noWrap/>
            <w:vAlign w:val="bottom"/>
          </w:tcPr>
          <w:p w14:paraId="4959581D" w14:textId="0A23D0CB" w:rsidR="003E719D" w:rsidRPr="00CE02C0" w:rsidRDefault="00CC6FD6" w:rsidP="00C4197C">
            <w:pPr>
              <w:jc w:val="right"/>
              <w:rPr>
                <w:color w:val="000000"/>
                <w:sz w:val="18"/>
                <w:szCs w:val="18"/>
                <w:lang w:eastAsia="en-GB"/>
              </w:rPr>
            </w:pPr>
            <w:r w:rsidRPr="00CE02C0">
              <w:rPr>
                <w:color w:val="000000"/>
                <w:sz w:val="18"/>
                <w:szCs w:val="18"/>
                <w:lang w:eastAsia="en-GB"/>
              </w:rPr>
              <w:t>-</w:t>
            </w:r>
          </w:p>
        </w:tc>
        <w:tc>
          <w:tcPr>
            <w:tcW w:w="653" w:type="pct"/>
            <w:tcBorders>
              <w:top w:val="nil"/>
              <w:left w:val="nil"/>
              <w:bottom w:val="nil"/>
              <w:right w:val="nil"/>
            </w:tcBorders>
            <w:shd w:val="clear" w:color="auto" w:fill="auto"/>
            <w:noWrap/>
            <w:vAlign w:val="bottom"/>
          </w:tcPr>
          <w:p w14:paraId="03963EAF" w14:textId="62634C43" w:rsidR="003E719D" w:rsidRPr="00CE02C0" w:rsidRDefault="0095394E" w:rsidP="00C4197C">
            <w:pPr>
              <w:jc w:val="right"/>
              <w:rPr>
                <w:color w:val="000000"/>
                <w:sz w:val="18"/>
                <w:szCs w:val="18"/>
                <w:lang w:eastAsia="en-GB"/>
              </w:rPr>
            </w:pPr>
            <w:r>
              <w:rPr>
                <w:color w:val="000000"/>
                <w:sz w:val="18"/>
                <w:szCs w:val="18"/>
                <w:lang w:eastAsia="en-GB"/>
              </w:rPr>
              <w:t>-</w:t>
            </w:r>
          </w:p>
        </w:tc>
      </w:tr>
      <w:tr w:rsidR="003E719D" w:rsidRPr="00CE02C0" w14:paraId="1D44C5B4" w14:textId="77777777" w:rsidTr="003E719D">
        <w:trPr>
          <w:trHeight w:val="218"/>
        </w:trPr>
        <w:tc>
          <w:tcPr>
            <w:tcW w:w="2608" w:type="pct"/>
            <w:tcBorders>
              <w:top w:val="nil"/>
              <w:left w:val="nil"/>
              <w:bottom w:val="nil"/>
              <w:right w:val="nil"/>
            </w:tcBorders>
            <w:shd w:val="clear" w:color="auto" w:fill="auto"/>
            <w:noWrap/>
            <w:vAlign w:val="bottom"/>
          </w:tcPr>
          <w:p w14:paraId="1C9CEB8B" w14:textId="0B29F3A7" w:rsidR="003E719D" w:rsidRPr="003E719D" w:rsidRDefault="003E719D" w:rsidP="00C4197C">
            <w:pPr>
              <w:rPr>
                <w:color w:val="000000"/>
                <w:sz w:val="18"/>
                <w:szCs w:val="18"/>
                <w:lang w:eastAsia="en-GB"/>
              </w:rPr>
            </w:pPr>
            <w:proofErr w:type="spellStart"/>
            <w:r w:rsidRPr="003E719D">
              <w:rPr>
                <w:color w:val="000000"/>
                <w:sz w:val="18"/>
                <w:szCs w:val="18"/>
                <w:lang w:eastAsia="en-GB"/>
              </w:rPr>
              <w:t>Azerbaycan</w:t>
            </w:r>
            <w:proofErr w:type="spellEnd"/>
            <w:r w:rsidRPr="003E719D">
              <w:rPr>
                <w:color w:val="000000"/>
                <w:sz w:val="18"/>
                <w:szCs w:val="18"/>
                <w:lang w:eastAsia="en-GB"/>
              </w:rPr>
              <w:t xml:space="preserve"> </w:t>
            </w:r>
            <w:proofErr w:type="spellStart"/>
            <w:r w:rsidRPr="003E719D">
              <w:rPr>
                <w:color w:val="000000"/>
                <w:sz w:val="18"/>
                <w:szCs w:val="18"/>
                <w:lang w:eastAsia="en-GB"/>
              </w:rPr>
              <w:t>Koka</w:t>
            </w:r>
            <w:proofErr w:type="spellEnd"/>
            <w:r w:rsidRPr="003E719D">
              <w:rPr>
                <w:color w:val="000000"/>
                <w:sz w:val="18"/>
                <w:szCs w:val="18"/>
                <w:lang w:eastAsia="en-GB"/>
              </w:rPr>
              <w:t>-Kola Bottlers Ltd</w:t>
            </w:r>
          </w:p>
        </w:tc>
        <w:tc>
          <w:tcPr>
            <w:tcW w:w="586" w:type="pct"/>
            <w:tcBorders>
              <w:top w:val="nil"/>
              <w:left w:val="nil"/>
              <w:bottom w:val="nil"/>
              <w:right w:val="nil"/>
            </w:tcBorders>
            <w:shd w:val="clear" w:color="auto" w:fill="auto"/>
            <w:noWrap/>
            <w:vAlign w:val="bottom"/>
          </w:tcPr>
          <w:p w14:paraId="4B04E446" w14:textId="458267C0" w:rsidR="003E719D" w:rsidRPr="00ED4A6C" w:rsidRDefault="003E719D" w:rsidP="00C4197C">
            <w:pPr>
              <w:jc w:val="right"/>
              <w:rPr>
                <w:b/>
                <w:bCs/>
                <w:color w:val="000000"/>
                <w:sz w:val="18"/>
                <w:szCs w:val="18"/>
                <w:lang w:eastAsia="en-GB"/>
              </w:rPr>
            </w:pPr>
            <w:r>
              <w:rPr>
                <w:b/>
                <w:bCs/>
                <w:color w:val="000000"/>
                <w:sz w:val="18"/>
                <w:szCs w:val="18"/>
                <w:lang w:eastAsia="en-GB"/>
              </w:rPr>
              <w:t>161,184</w:t>
            </w:r>
          </w:p>
        </w:tc>
        <w:tc>
          <w:tcPr>
            <w:tcW w:w="552" w:type="pct"/>
            <w:tcBorders>
              <w:top w:val="nil"/>
              <w:left w:val="nil"/>
              <w:bottom w:val="nil"/>
              <w:right w:val="nil"/>
            </w:tcBorders>
            <w:vAlign w:val="bottom"/>
          </w:tcPr>
          <w:p w14:paraId="15B634CA" w14:textId="2E5C865A" w:rsidR="003E719D" w:rsidRPr="00ED4A6C" w:rsidRDefault="001D4A51" w:rsidP="00C4197C">
            <w:pPr>
              <w:jc w:val="right"/>
              <w:rPr>
                <w:b/>
                <w:bCs/>
                <w:color w:val="000000"/>
                <w:sz w:val="18"/>
                <w:szCs w:val="18"/>
              </w:rPr>
            </w:pPr>
            <w:r>
              <w:rPr>
                <w:b/>
                <w:bCs/>
                <w:color w:val="000000"/>
                <w:sz w:val="18"/>
                <w:szCs w:val="18"/>
              </w:rPr>
              <w:t>1.09%</w:t>
            </w:r>
          </w:p>
        </w:tc>
        <w:tc>
          <w:tcPr>
            <w:tcW w:w="601" w:type="pct"/>
            <w:tcBorders>
              <w:top w:val="nil"/>
              <w:left w:val="nil"/>
              <w:bottom w:val="nil"/>
              <w:right w:val="nil"/>
            </w:tcBorders>
            <w:shd w:val="clear" w:color="auto" w:fill="auto"/>
            <w:noWrap/>
            <w:vAlign w:val="bottom"/>
          </w:tcPr>
          <w:p w14:paraId="0A13D751" w14:textId="66DBCB5D" w:rsidR="003E719D" w:rsidRPr="00CE02C0" w:rsidRDefault="00CC6FD6" w:rsidP="00C4197C">
            <w:pPr>
              <w:jc w:val="right"/>
              <w:rPr>
                <w:color w:val="000000"/>
                <w:sz w:val="18"/>
                <w:szCs w:val="18"/>
                <w:lang w:eastAsia="en-GB"/>
              </w:rPr>
            </w:pPr>
            <w:r w:rsidRPr="00CE02C0">
              <w:rPr>
                <w:color w:val="000000"/>
                <w:sz w:val="18"/>
                <w:szCs w:val="18"/>
                <w:lang w:eastAsia="en-GB"/>
              </w:rPr>
              <w:t>-</w:t>
            </w:r>
          </w:p>
        </w:tc>
        <w:tc>
          <w:tcPr>
            <w:tcW w:w="653" w:type="pct"/>
            <w:tcBorders>
              <w:top w:val="nil"/>
              <w:left w:val="nil"/>
              <w:bottom w:val="nil"/>
              <w:right w:val="nil"/>
            </w:tcBorders>
            <w:shd w:val="clear" w:color="auto" w:fill="auto"/>
            <w:noWrap/>
            <w:vAlign w:val="bottom"/>
          </w:tcPr>
          <w:p w14:paraId="3637FF2A" w14:textId="77B88F5F" w:rsidR="003E719D" w:rsidRPr="00CE02C0" w:rsidRDefault="0095394E" w:rsidP="00C4197C">
            <w:pPr>
              <w:jc w:val="right"/>
              <w:rPr>
                <w:color w:val="000000"/>
                <w:sz w:val="18"/>
                <w:szCs w:val="18"/>
                <w:lang w:eastAsia="en-GB"/>
              </w:rPr>
            </w:pPr>
            <w:r>
              <w:rPr>
                <w:color w:val="000000"/>
                <w:sz w:val="18"/>
                <w:szCs w:val="18"/>
                <w:lang w:eastAsia="en-GB"/>
              </w:rPr>
              <w:t>-</w:t>
            </w:r>
          </w:p>
        </w:tc>
      </w:tr>
      <w:tr w:rsidR="007D3509" w:rsidRPr="00CE02C0" w14:paraId="083D19E3" w14:textId="77777777" w:rsidTr="003E719D">
        <w:trPr>
          <w:trHeight w:val="149"/>
        </w:trPr>
        <w:tc>
          <w:tcPr>
            <w:tcW w:w="2608" w:type="pct"/>
            <w:tcBorders>
              <w:top w:val="nil"/>
              <w:left w:val="nil"/>
              <w:bottom w:val="nil"/>
              <w:right w:val="nil"/>
            </w:tcBorders>
            <w:shd w:val="clear" w:color="auto" w:fill="auto"/>
            <w:noWrap/>
            <w:vAlign w:val="bottom"/>
          </w:tcPr>
          <w:p w14:paraId="59B81BF1" w14:textId="79536C80" w:rsidR="007D3509" w:rsidRDefault="007D3509" w:rsidP="00C4197C">
            <w:pPr>
              <w:rPr>
                <w:color w:val="000000"/>
                <w:sz w:val="18"/>
                <w:szCs w:val="18"/>
                <w:lang w:eastAsia="en-GB"/>
              </w:rPr>
            </w:pPr>
            <w:r>
              <w:rPr>
                <w:color w:val="000000"/>
                <w:sz w:val="18"/>
                <w:szCs w:val="18"/>
                <w:lang w:eastAsia="en-GB"/>
              </w:rPr>
              <w:t>US Embassy</w:t>
            </w:r>
          </w:p>
        </w:tc>
        <w:tc>
          <w:tcPr>
            <w:tcW w:w="586" w:type="pct"/>
            <w:tcBorders>
              <w:top w:val="nil"/>
              <w:left w:val="nil"/>
              <w:bottom w:val="nil"/>
              <w:right w:val="nil"/>
            </w:tcBorders>
            <w:shd w:val="clear" w:color="auto" w:fill="auto"/>
            <w:noWrap/>
            <w:vAlign w:val="bottom"/>
          </w:tcPr>
          <w:p w14:paraId="0714DD3F" w14:textId="1A793213" w:rsidR="007D3509" w:rsidRPr="00ED4A6C" w:rsidRDefault="003E719D" w:rsidP="00C4197C">
            <w:pPr>
              <w:jc w:val="right"/>
              <w:rPr>
                <w:b/>
                <w:bCs/>
                <w:color w:val="000000"/>
                <w:sz w:val="18"/>
                <w:szCs w:val="18"/>
                <w:lang w:eastAsia="en-GB"/>
              </w:rPr>
            </w:pPr>
            <w:r>
              <w:rPr>
                <w:b/>
                <w:bCs/>
                <w:color w:val="000000"/>
                <w:sz w:val="18"/>
                <w:szCs w:val="18"/>
                <w:lang w:eastAsia="en-GB"/>
              </w:rPr>
              <w:t>31,813</w:t>
            </w:r>
          </w:p>
        </w:tc>
        <w:tc>
          <w:tcPr>
            <w:tcW w:w="552" w:type="pct"/>
            <w:tcBorders>
              <w:top w:val="nil"/>
              <w:left w:val="nil"/>
              <w:bottom w:val="nil"/>
              <w:right w:val="nil"/>
            </w:tcBorders>
            <w:vAlign w:val="bottom"/>
          </w:tcPr>
          <w:p w14:paraId="4678748E" w14:textId="5A098AFD" w:rsidR="007D3509" w:rsidRPr="00ED4A6C" w:rsidRDefault="001D4A51" w:rsidP="00C4197C">
            <w:pPr>
              <w:jc w:val="right"/>
              <w:rPr>
                <w:b/>
                <w:bCs/>
                <w:color w:val="000000"/>
                <w:sz w:val="18"/>
                <w:szCs w:val="18"/>
              </w:rPr>
            </w:pPr>
            <w:r>
              <w:rPr>
                <w:b/>
                <w:bCs/>
                <w:color w:val="000000"/>
                <w:sz w:val="18"/>
                <w:szCs w:val="18"/>
              </w:rPr>
              <w:t>0.21%</w:t>
            </w:r>
          </w:p>
        </w:tc>
        <w:tc>
          <w:tcPr>
            <w:tcW w:w="601" w:type="pct"/>
            <w:tcBorders>
              <w:top w:val="nil"/>
              <w:left w:val="nil"/>
              <w:bottom w:val="nil"/>
              <w:right w:val="nil"/>
            </w:tcBorders>
            <w:shd w:val="clear" w:color="auto" w:fill="auto"/>
            <w:noWrap/>
            <w:vAlign w:val="bottom"/>
          </w:tcPr>
          <w:p w14:paraId="161C4E0B" w14:textId="53B054BB" w:rsidR="007D3509" w:rsidRPr="00CE02C0" w:rsidRDefault="007D3509" w:rsidP="00C4197C">
            <w:pPr>
              <w:jc w:val="right"/>
              <w:rPr>
                <w:color w:val="000000"/>
                <w:sz w:val="18"/>
                <w:szCs w:val="18"/>
                <w:lang w:eastAsia="en-GB"/>
              </w:rPr>
            </w:pPr>
            <w:r w:rsidRPr="00CE02C0">
              <w:rPr>
                <w:color w:val="000000"/>
                <w:sz w:val="18"/>
                <w:szCs w:val="18"/>
                <w:lang w:eastAsia="en-GB"/>
              </w:rPr>
              <w:t>284,116</w:t>
            </w:r>
          </w:p>
        </w:tc>
        <w:tc>
          <w:tcPr>
            <w:tcW w:w="653" w:type="pct"/>
            <w:tcBorders>
              <w:top w:val="nil"/>
              <w:left w:val="nil"/>
              <w:bottom w:val="nil"/>
              <w:right w:val="nil"/>
            </w:tcBorders>
            <w:shd w:val="clear" w:color="auto" w:fill="auto"/>
            <w:noWrap/>
            <w:vAlign w:val="bottom"/>
          </w:tcPr>
          <w:p w14:paraId="56EAC965" w14:textId="263C4381" w:rsidR="007D3509" w:rsidRPr="00CE02C0" w:rsidRDefault="007D3509" w:rsidP="00C4197C">
            <w:pPr>
              <w:jc w:val="right"/>
              <w:rPr>
                <w:color w:val="000000"/>
                <w:sz w:val="18"/>
                <w:szCs w:val="18"/>
                <w:lang w:eastAsia="en-GB"/>
              </w:rPr>
            </w:pPr>
            <w:r w:rsidRPr="00CE02C0">
              <w:rPr>
                <w:color w:val="000000"/>
                <w:sz w:val="18"/>
                <w:szCs w:val="18"/>
                <w:lang w:eastAsia="en-GB"/>
              </w:rPr>
              <w:t>2.2</w:t>
            </w:r>
            <w:r w:rsidR="00CE02C0" w:rsidRPr="00CE02C0">
              <w:rPr>
                <w:color w:val="000000"/>
                <w:sz w:val="18"/>
                <w:szCs w:val="18"/>
                <w:lang w:eastAsia="en-GB"/>
              </w:rPr>
              <w:t>0</w:t>
            </w:r>
            <w:r w:rsidRPr="00CE02C0">
              <w:rPr>
                <w:color w:val="000000"/>
                <w:sz w:val="18"/>
                <w:szCs w:val="18"/>
                <w:lang w:eastAsia="en-GB"/>
              </w:rPr>
              <w:t>%</w:t>
            </w:r>
          </w:p>
        </w:tc>
      </w:tr>
      <w:tr w:rsidR="007D3509" w:rsidRPr="00CE02C0" w14:paraId="5EE23D9B" w14:textId="77777777" w:rsidTr="003E719D">
        <w:trPr>
          <w:trHeight w:val="142"/>
        </w:trPr>
        <w:tc>
          <w:tcPr>
            <w:tcW w:w="2608" w:type="pct"/>
            <w:tcBorders>
              <w:top w:val="nil"/>
              <w:left w:val="nil"/>
              <w:bottom w:val="single" w:sz="4" w:space="0" w:color="auto"/>
              <w:right w:val="nil"/>
            </w:tcBorders>
            <w:shd w:val="clear" w:color="auto" w:fill="auto"/>
            <w:noWrap/>
            <w:vAlign w:val="bottom"/>
            <w:hideMark/>
          </w:tcPr>
          <w:p w14:paraId="6BE3DA40" w14:textId="1EE0E174" w:rsidR="007D3509" w:rsidRPr="00EC690A" w:rsidRDefault="007D3509" w:rsidP="00C4197C">
            <w:pPr>
              <w:rPr>
                <w:color w:val="000000"/>
                <w:sz w:val="18"/>
                <w:szCs w:val="18"/>
                <w:lang w:eastAsia="en-GB"/>
              </w:rPr>
            </w:pPr>
            <w:r>
              <w:rPr>
                <w:color w:val="000000"/>
                <w:sz w:val="18"/>
                <w:szCs w:val="18"/>
                <w:lang w:eastAsia="en-GB"/>
              </w:rPr>
              <w:t>Others (Note 31)</w:t>
            </w:r>
          </w:p>
        </w:tc>
        <w:tc>
          <w:tcPr>
            <w:tcW w:w="586" w:type="pct"/>
            <w:tcBorders>
              <w:top w:val="nil"/>
              <w:left w:val="nil"/>
              <w:bottom w:val="single" w:sz="4" w:space="0" w:color="auto"/>
              <w:right w:val="nil"/>
            </w:tcBorders>
            <w:shd w:val="clear" w:color="auto" w:fill="auto"/>
            <w:noWrap/>
            <w:vAlign w:val="bottom"/>
          </w:tcPr>
          <w:p w14:paraId="1F38B85F" w14:textId="6E6B69A1" w:rsidR="007D3509" w:rsidRPr="00ED4A6C" w:rsidRDefault="001D4A51" w:rsidP="00C4197C">
            <w:pPr>
              <w:jc w:val="right"/>
              <w:rPr>
                <w:b/>
                <w:bCs/>
                <w:color w:val="000000"/>
                <w:sz w:val="18"/>
                <w:szCs w:val="18"/>
                <w:lang w:eastAsia="en-GB"/>
              </w:rPr>
            </w:pPr>
            <w:r>
              <w:rPr>
                <w:b/>
                <w:bCs/>
                <w:color w:val="000000"/>
                <w:sz w:val="18"/>
                <w:szCs w:val="18"/>
                <w:lang w:eastAsia="en-GB"/>
              </w:rPr>
              <w:t>6,639,168</w:t>
            </w:r>
          </w:p>
        </w:tc>
        <w:tc>
          <w:tcPr>
            <w:tcW w:w="552" w:type="pct"/>
            <w:tcBorders>
              <w:top w:val="nil"/>
              <w:left w:val="nil"/>
              <w:bottom w:val="single" w:sz="4" w:space="0" w:color="auto"/>
              <w:right w:val="nil"/>
            </w:tcBorders>
            <w:vAlign w:val="bottom"/>
          </w:tcPr>
          <w:p w14:paraId="5E05D65F" w14:textId="58E0140A" w:rsidR="007D3509" w:rsidRPr="00ED4A6C" w:rsidRDefault="001D4A51" w:rsidP="00C4197C">
            <w:pPr>
              <w:jc w:val="right"/>
              <w:rPr>
                <w:b/>
                <w:bCs/>
                <w:color w:val="000000"/>
                <w:sz w:val="18"/>
                <w:szCs w:val="18"/>
              </w:rPr>
            </w:pPr>
            <w:r>
              <w:rPr>
                <w:b/>
                <w:bCs/>
                <w:color w:val="000000"/>
                <w:sz w:val="18"/>
                <w:szCs w:val="18"/>
              </w:rPr>
              <w:t>43.86%</w:t>
            </w:r>
          </w:p>
        </w:tc>
        <w:tc>
          <w:tcPr>
            <w:tcW w:w="601" w:type="pct"/>
            <w:tcBorders>
              <w:top w:val="nil"/>
              <w:left w:val="nil"/>
              <w:bottom w:val="single" w:sz="4" w:space="0" w:color="auto"/>
              <w:right w:val="nil"/>
            </w:tcBorders>
            <w:shd w:val="clear" w:color="auto" w:fill="auto"/>
            <w:noWrap/>
            <w:vAlign w:val="bottom"/>
          </w:tcPr>
          <w:p w14:paraId="6544E618" w14:textId="11082ABC" w:rsidR="007D3509" w:rsidRPr="00CE02C0" w:rsidRDefault="00CC6FD6" w:rsidP="00C4197C">
            <w:pPr>
              <w:jc w:val="right"/>
              <w:rPr>
                <w:color w:val="000000"/>
                <w:sz w:val="18"/>
                <w:szCs w:val="18"/>
                <w:lang w:eastAsia="en-GB"/>
              </w:rPr>
            </w:pPr>
            <w:r w:rsidRPr="00CE02C0">
              <w:rPr>
                <w:color w:val="000000"/>
                <w:sz w:val="18"/>
                <w:szCs w:val="18"/>
                <w:lang w:eastAsia="en-GB"/>
              </w:rPr>
              <w:t>4,854,195</w:t>
            </w:r>
          </w:p>
        </w:tc>
        <w:tc>
          <w:tcPr>
            <w:tcW w:w="653" w:type="pct"/>
            <w:tcBorders>
              <w:top w:val="nil"/>
              <w:left w:val="nil"/>
              <w:bottom w:val="single" w:sz="4" w:space="0" w:color="auto"/>
              <w:right w:val="nil"/>
            </w:tcBorders>
            <w:shd w:val="clear" w:color="auto" w:fill="auto"/>
            <w:noWrap/>
            <w:vAlign w:val="bottom"/>
          </w:tcPr>
          <w:p w14:paraId="1F3C1444" w14:textId="7BD012CA" w:rsidR="007D3509" w:rsidRPr="00CE02C0" w:rsidRDefault="00CE02C0" w:rsidP="00C4197C">
            <w:pPr>
              <w:jc w:val="right"/>
              <w:rPr>
                <w:color w:val="000000"/>
                <w:sz w:val="18"/>
                <w:szCs w:val="18"/>
                <w:lang w:eastAsia="en-GB"/>
              </w:rPr>
            </w:pPr>
            <w:r w:rsidRPr="00CE02C0">
              <w:rPr>
                <w:color w:val="000000"/>
                <w:sz w:val="18"/>
                <w:szCs w:val="18"/>
                <w:lang w:eastAsia="en-GB"/>
              </w:rPr>
              <w:t>37.51%</w:t>
            </w:r>
          </w:p>
        </w:tc>
      </w:tr>
      <w:tr w:rsidR="007D3509" w:rsidRPr="00EC690A" w14:paraId="746FB31A" w14:textId="77777777" w:rsidTr="007D3509">
        <w:trPr>
          <w:trHeight w:val="323"/>
        </w:trPr>
        <w:tc>
          <w:tcPr>
            <w:tcW w:w="2608" w:type="pct"/>
            <w:tcBorders>
              <w:top w:val="single" w:sz="4" w:space="0" w:color="auto"/>
              <w:left w:val="nil"/>
              <w:bottom w:val="double" w:sz="4" w:space="0" w:color="auto"/>
              <w:right w:val="nil"/>
            </w:tcBorders>
            <w:shd w:val="clear" w:color="auto" w:fill="auto"/>
            <w:noWrap/>
            <w:vAlign w:val="bottom"/>
            <w:hideMark/>
          </w:tcPr>
          <w:p w14:paraId="28625966" w14:textId="1054416B" w:rsidR="007D3509" w:rsidRPr="00EC690A" w:rsidRDefault="007D3509" w:rsidP="00C4197C">
            <w:pPr>
              <w:rPr>
                <w:b/>
                <w:bCs/>
                <w:color w:val="000000"/>
                <w:sz w:val="18"/>
                <w:szCs w:val="18"/>
                <w:lang w:eastAsia="en-GB"/>
              </w:rPr>
            </w:pPr>
            <w:r>
              <w:rPr>
                <w:b/>
                <w:bCs/>
                <w:color w:val="000000"/>
                <w:sz w:val="18"/>
                <w:szCs w:val="18"/>
                <w:lang w:eastAsia="en-GB"/>
              </w:rPr>
              <w:t>Total</w:t>
            </w:r>
          </w:p>
        </w:tc>
        <w:tc>
          <w:tcPr>
            <w:tcW w:w="586" w:type="pct"/>
            <w:tcBorders>
              <w:top w:val="single" w:sz="4" w:space="0" w:color="auto"/>
              <w:left w:val="nil"/>
              <w:bottom w:val="double" w:sz="4" w:space="0" w:color="auto"/>
              <w:right w:val="nil"/>
            </w:tcBorders>
            <w:shd w:val="clear" w:color="auto" w:fill="auto"/>
            <w:noWrap/>
            <w:vAlign w:val="bottom"/>
          </w:tcPr>
          <w:p w14:paraId="600C5BB8" w14:textId="0FA6A51A" w:rsidR="007D3509" w:rsidRPr="00ED4A6C" w:rsidRDefault="001D4A51" w:rsidP="00C4197C">
            <w:pPr>
              <w:jc w:val="right"/>
              <w:rPr>
                <w:b/>
                <w:bCs/>
                <w:color w:val="000000"/>
                <w:sz w:val="18"/>
                <w:szCs w:val="18"/>
                <w:lang w:eastAsia="en-GB"/>
              </w:rPr>
            </w:pPr>
            <w:r>
              <w:rPr>
                <w:b/>
                <w:bCs/>
                <w:color w:val="000000"/>
                <w:sz w:val="18"/>
                <w:szCs w:val="18"/>
                <w:lang w:eastAsia="en-GB"/>
              </w:rPr>
              <w:t>14,811,975</w:t>
            </w:r>
          </w:p>
        </w:tc>
        <w:tc>
          <w:tcPr>
            <w:tcW w:w="552" w:type="pct"/>
            <w:tcBorders>
              <w:top w:val="single" w:sz="4" w:space="0" w:color="auto"/>
              <w:left w:val="nil"/>
              <w:bottom w:val="double" w:sz="4" w:space="0" w:color="auto"/>
              <w:right w:val="nil"/>
            </w:tcBorders>
            <w:vAlign w:val="bottom"/>
          </w:tcPr>
          <w:p w14:paraId="55278E7D" w14:textId="0CDB709E" w:rsidR="007D3509" w:rsidRPr="00ED4A6C" w:rsidRDefault="007D3509" w:rsidP="00C4197C">
            <w:pPr>
              <w:jc w:val="right"/>
              <w:rPr>
                <w:b/>
                <w:bCs/>
                <w:color w:val="000000"/>
                <w:sz w:val="18"/>
                <w:szCs w:val="18"/>
              </w:rPr>
            </w:pPr>
            <w:r w:rsidRPr="00ED4A6C">
              <w:rPr>
                <w:b/>
                <w:bCs/>
                <w:color w:val="000000"/>
                <w:sz w:val="18"/>
                <w:szCs w:val="18"/>
              </w:rPr>
              <w:t>100%</w:t>
            </w:r>
          </w:p>
        </w:tc>
        <w:tc>
          <w:tcPr>
            <w:tcW w:w="601" w:type="pct"/>
            <w:tcBorders>
              <w:top w:val="single" w:sz="4" w:space="0" w:color="auto"/>
              <w:left w:val="nil"/>
              <w:bottom w:val="double" w:sz="4" w:space="0" w:color="auto"/>
              <w:right w:val="nil"/>
            </w:tcBorders>
            <w:shd w:val="clear" w:color="auto" w:fill="auto"/>
            <w:noWrap/>
            <w:vAlign w:val="bottom"/>
          </w:tcPr>
          <w:p w14:paraId="3D66DB30" w14:textId="733B84FC" w:rsidR="007D3509" w:rsidRPr="00ED4A6C" w:rsidRDefault="007D3509" w:rsidP="00C4197C">
            <w:pPr>
              <w:jc w:val="right"/>
              <w:rPr>
                <w:color w:val="000000"/>
                <w:sz w:val="18"/>
                <w:szCs w:val="18"/>
                <w:lang w:eastAsia="en-GB"/>
              </w:rPr>
            </w:pPr>
            <w:r w:rsidRPr="00ED4A6C">
              <w:rPr>
                <w:color w:val="000000"/>
                <w:sz w:val="18"/>
                <w:szCs w:val="18"/>
                <w:lang w:eastAsia="en-GB"/>
              </w:rPr>
              <w:t>12,939,727</w:t>
            </w:r>
          </w:p>
        </w:tc>
        <w:tc>
          <w:tcPr>
            <w:tcW w:w="653" w:type="pct"/>
            <w:tcBorders>
              <w:top w:val="single" w:sz="4" w:space="0" w:color="auto"/>
              <w:left w:val="nil"/>
              <w:bottom w:val="double" w:sz="4" w:space="0" w:color="auto"/>
              <w:right w:val="nil"/>
            </w:tcBorders>
            <w:shd w:val="clear" w:color="auto" w:fill="auto"/>
            <w:noWrap/>
            <w:vAlign w:val="bottom"/>
          </w:tcPr>
          <w:p w14:paraId="2DF39389" w14:textId="5A24A674" w:rsidR="007D3509" w:rsidRPr="00ED4A6C" w:rsidRDefault="007D3509" w:rsidP="00C4197C">
            <w:pPr>
              <w:jc w:val="right"/>
              <w:rPr>
                <w:color w:val="000000"/>
                <w:sz w:val="18"/>
                <w:szCs w:val="18"/>
                <w:lang w:eastAsia="en-GB"/>
              </w:rPr>
            </w:pPr>
            <w:r w:rsidRPr="00ED4A6C">
              <w:rPr>
                <w:color w:val="000000"/>
                <w:sz w:val="18"/>
                <w:szCs w:val="18"/>
                <w:lang w:eastAsia="en-GB"/>
              </w:rPr>
              <w:t>100%</w:t>
            </w:r>
          </w:p>
        </w:tc>
      </w:tr>
    </w:tbl>
    <w:p w14:paraId="20DCB883" w14:textId="77777777" w:rsidR="007D3509" w:rsidRDefault="007D3509" w:rsidP="00995233">
      <w:pPr>
        <w:spacing w:before="120" w:after="120"/>
        <w:rPr>
          <w:b/>
          <w:bCs/>
          <w:sz w:val="18"/>
          <w:szCs w:val="18"/>
        </w:rPr>
        <w:sectPr w:rsidR="007D3509" w:rsidSect="006304E8">
          <w:pgSz w:w="16838" w:h="11906" w:orient="landscape" w:code="9"/>
          <w:pgMar w:top="1701" w:right="1440" w:bottom="1440" w:left="1440" w:header="709" w:footer="709" w:gutter="0"/>
          <w:cols w:space="708"/>
          <w:docGrid w:linePitch="360"/>
        </w:sectPr>
      </w:pPr>
    </w:p>
    <w:p w14:paraId="041CABD0" w14:textId="4BF4B2F1" w:rsidR="007D3509" w:rsidRDefault="007D3509" w:rsidP="00ED4A6C">
      <w:pPr>
        <w:pStyle w:val="ListParagraph"/>
        <w:numPr>
          <w:ilvl w:val="0"/>
          <w:numId w:val="1"/>
        </w:numPr>
        <w:spacing w:before="240" w:after="120"/>
        <w:ind w:left="0" w:firstLine="0"/>
        <w:contextualSpacing w:val="0"/>
        <w:outlineLvl w:val="0"/>
        <w:rPr>
          <w:b/>
          <w:bCs/>
          <w:sz w:val="18"/>
          <w:szCs w:val="18"/>
        </w:rPr>
      </w:pPr>
      <w:bookmarkStart w:id="65" w:name="_Toc57894909"/>
      <w:r>
        <w:rPr>
          <w:b/>
          <w:bCs/>
          <w:sz w:val="18"/>
          <w:szCs w:val="18"/>
        </w:rPr>
        <w:lastRenderedPageBreak/>
        <w:t>Net acquisition cost</w:t>
      </w:r>
      <w:bookmarkEnd w:id="65"/>
    </w:p>
    <w:tbl>
      <w:tblPr>
        <w:tblW w:w="5000" w:type="pct"/>
        <w:tblLook w:val="04A0" w:firstRow="1" w:lastRow="0" w:firstColumn="1" w:lastColumn="0" w:noHBand="0" w:noVBand="1"/>
      </w:tblPr>
      <w:tblGrid>
        <w:gridCol w:w="5711"/>
        <w:gridCol w:w="1337"/>
        <w:gridCol w:w="1456"/>
      </w:tblGrid>
      <w:tr w:rsidR="007D3509" w:rsidRPr="00EC690A" w14:paraId="33E1B69E" w14:textId="77777777" w:rsidTr="00ED4A6C">
        <w:trPr>
          <w:trHeight w:val="300"/>
        </w:trPr>
        <w:tc>
          <w:tcPr>
            <w:tcW w:w="3358" w:type="pct"/>
            <w:tcBorders>
              <w:top w:val="nil"/>
              <w:left w:val="nil"/>
              <w:bottom w:val="single" w:sz="4" w:space="0" w:color="auto"/>
              <w:right w:val="nil"/>
            </w:tcBorders>
            <w:shd w:val="clear" w:color="auto" w:fill="auto"/>
            <w:noWrap/>
            <w:vAlign w:val="bottom"/>
            <w:hideMark/>
          </w:tcPr>
          <w:p w14:paraId="5B03216A" w14:textId="77777777" w:rsidR="007D3509" w:rsidRPr="00EC690A" w:rsidRDefault="007D3509" w:rsidP="00C4197C">
            <w:pPr>
              <w:jc w:val="right"/>
              <w:rPr>
                <w:b/>
                <w:bCs/>
                <w:color w:val="000000"/>
                <w:sz w:val="18"/>
                <w:szCs w:val="18"/>
                <w:lang w:eastAsia="en-GB"/>
              </w:rPr>
            </w:pPr>
            <w:r w:rsidRPr="00EC690A">
              <w:rPr>
                <w:b/>
                <w:bCs/>
                <w:color w:val="000000"/>
                <w:sz w:val="18"/>
                <w:szCs w:val="18"/>
                <w:lang w:eastAsia="en-GB"/>
              </w:rPr>
              <w:t> </w:t>
            </w:r>
          </w:p>
        </w:tc>
        <w:tc>
          <w:tcPr>
            <w:tcW w:w="786" w:type="pct"/>
            <w:tcBorders>
              <w:top w:val="nil"/>
              <w:left w:val="nil"/>
              <w:bottom w:val="single" w:sz="4" w:space="0" w:color="auto"/>
              <w:right w:val="nil"/>
            </w:tcBorders>
            <w:shd w:val="clear" w:color="auto" w:fill="auto"/>
            <w:noWrap/>
            <w:vAlign w:val="bottom"/>
            <w:hideMark/>
          </w:tcPr>
          <w:p w14:paraId="1D63D013" w14:textId="7F75C076" w:rsidR="007D3509" w:rsidRPr="00ED4A6C" w:rsidRDefault="007D3509" w:rsidP="00C4197C">
            <w:pPr>
              <w:jc w:val="right"/>
              <w:rPr>
                <w:b/>
                <w:bCs/>
                <w:color w:val="000000"/>
                <w:sz w:val="18"/>
                <w:szCs w:val="18"/>
                <w:lang w:eastAsia="en-GB"/>
              </w:rPr>
            </w:pPr>
            <w:r w:rsidRPr="00ED4A6C">
              <w:rPr>
                <w:b/>
                <w:bCs/>
                <w:color w:val="000000"/>
                <w:sz w:val="18"/>
                <w:szCs w:val="18"/>
                <w:lang w:eastAsia="en-GB"/>
              </w:rPr>
              <w:t>2019</w:t>
            </w:r>
          </w:p>
        </w:tc>
        <w:tc>
          <w:tcPr>
            <w:tcW w:w="856" w:type="pct"/>
            <w:tcBorders>
              <w:top w:val="nil"/>
              <w:left w:val="nil"/>
              <w:bottom w:val="single" w:sz="4" w:space="0" w:color="auto"/>
              <w:right w:val="nil"/>
            </w:tcBorders>
            <w:shd w:val="clear" w:color="auto" w:fill="auto"/>
            <w:noWrap/>
            <w:vAlign w:val="bottom"/>
            <w:hideMark/>
          </w:tcPr>
          <w:p w14:paraId="193225D2" w14:textId="427778E9" w:rsidR="007D3509" w:rsidRPr="00ED4A6C" w:rsidRDefault="007D3509" w:rsidP="00C4197C">
            <w:pPr>
              <w:jc w:val="right"/>
              <w:rPr>
                <w:color w:val="000000"/>
                <w:sz w:val="18"/>
                <w:szCs w:val="18"/>
                <w:lang w:eastAsia="en-GB"/>
              </w:rPr>
            </w:pPr>
            <w:r w:rsidRPr="00ED4A6C">
              <w:rPr>
                <w:color w:val="000000"/>
                <w:sz w:val="18"/>
                <w:szCs w:val="18"/>
                <w:lang w:eastAsia="en-GB"/>
              </w:rPr>
              <w:t>2018</w:t>
            </w:r>
          </w:p>
        </w:tc>
      </w:tr>
      <w:tr w:rsidR="007D3509" w:rsidRPr="00EC690A" w14:paraId="77797601" w14:textId="77777777" w:rsidTr="00ED4A6C">
        <w:trPr>
          <w:trHeight w:val="300"/>
        </w:trPr>
        <w:tc>
          <w:tcPr>
            <w:tcW w:w="3358" w:type="pct"/>
            <w:tcBorders>
              <w:top w:val="nil"/>
              <w:left w:val="nil"/>
              <w:bottom w:val="nil"/>
              <w:right w:val="nil"/>
            </w:tcBorders>
            <w:shd w:val="clear" w:color="auto" w:fill="auto"/>
            <w:vAlign w:val="bottom"/>
            <w:hideMark/>
          </w:tcPr>
          <w:p w14:paraId="13A3ECD3" w14:textId="43434534" w:rsidR="007D3509" w:rsidRPr="00EC690A" w:rsidRDefault="007D3509" w:rsidP="00C4197C">
            <w:pPr>
              <w:rPr>
                <w:color w:val="000000"/>
                <w:sz w:val="18"/>
                <w:szCs w:val="18"/>
                <w:lang w:eastAsia="en-GB"/>
              </w:rPr>
            </w:pPr>
            <w:r w:rsidRPr="00EC690A">
              <w:rPr>
                <w:color w:val="000000"/>
                <w:sz w:val="18"/>
                <w:szCs w:val="18"/>
                <w:lang w:eastAsia="en-GB"/>
              </w:rPr>
              <w:t>Fee and commission income</w:t>
            </w:r>
          </w:p>
        </w:tc>
        <w:tc>
          <w:tcPr>
            <w:tcW w:w="786" w:type="pct"/>
            <w:tcBorders>
              <w:top w:val="nil"/>
              <w:left w:val="nil"/>
              <w:bottom w:val="nil"/>
              <w:right w:val="nil"/>
            </w:tcBorders>
            <w:shd w:val="clear" w:color="auto" w:fill="auto"/>
            <w:noWrap/>
            <w:vAlign w:val="bottom"/>
          </w:tcPr>
          <w:p w14:paraId="13EE922A" w14:textId="5A2CBE42" w:rsidR="007D3509" w:rsidRPr="00ED4A6C" w:rsidRDefault="00310C73" w:rsidP="00C4197C">
            <w:pPr>
              <w:jc w:val="right"/>
              <w:rPr>
                <w:b/>
                <w:bCs/>
                <w:color w:val="000000"/>
                <w:sz w:val="18"/>
                <w:szCs w:val="18"/>
                <w:lang w:val="ru-RU" w:eastAsia="en-GB"/>
              </w:rPr>
            </w:pPr>
            <w:r w:rsidRPr="00ED4A6C">
              <w:rPr>
                <w:b/>
                <w:bCs/>
                <w:color w:val="000000"/>
                <w:sz w:val="18"/>
                <w:szCs w:val="18"/>
                <w:lang w:val="ru-RU" w:eastAsia="en-GB"/>
              </w:rPr>
              <w:t>311,628</w:t>
            </w:r>
          </w:p>
        </w:tc>
        <w:tc>
          <w:tcPr>
            <w:tcW w:w="856" w:type="pct"/>
            <w:tcBorders>
              <w:top w:val="nil"/>
              <w:left w:val="nil"/>
              <w:bottom w:val="nil"/>
              <w:right w:val="nil"/>
            </w:tcBorders>
            <w:shd w:val="clear" w:color="auto" w:fill="auto"/>
            <w:noWrap/>
            <w:vAlign w:val="bottom"/>
          </w:tcPr>
          <w:p w14:paraId="4269FF71" w14:textId="726D6B98" w:rsidR="007D3509" w:rsidRPr="00ED4A6C" w:rsidRDefault="007D3509" w:rsidP="00C4197C">
            <w:pPr>
              <w:jc w:val="right"/>
              <w:rPr>
                <w:color w:val="000000"/>
                <w:sz w:val="18"/>
                <w:szCs w:val="18"/>
                <w:lang w:eastAsia="en-GB"/>
              </w:rPr>
            </w:pPr>
            <w:r w:rsidRPr="00ED4A6C">
              <w:rPr>
                <w:color w:val="000000"/>
                <w:sz w:val="18"/>
                <w:szCs w:val="18"/>
                <w:lang w:eastAsia="en-GB"/>
              </w:rPr>
              <w:t>174,817</w:t>
            </w:r>
          </w:p>
        </w:tc>
      </w:tr>
      <w:tr w:rsidR="007D3509" w:rsidRPr="00EC690A" w14:paraId="56BB8990" w14:textId="77777777" w:rsidTr="00ED4A6C">
        <w:trPr>
          <w:trHeight w:val="300"/>
        </w:trPr>
        <w:tc>
          <w:tcPr>
            <w:tcW w:w="3358" w:type="pct"/>
            <w:tcBorders>
              <w:top w:val="nil"/>
              <w:left w:val="nil"/>
              <w:bottom w:val="nil"/>
              <w:right w:val="nil"/>
            </w:tcBorders>
            <w:shd w:val="clear" w:color="auto" w:fill="auto"/>
            <w:vAlign w:val="bottom"/>
          </w:tcPr>
          <w:p w14:paraId="6ED8C44E" w14:textId="42A18B96" w:rsidR="007D3509" w:rsidRPr="00EC690A" w:rsidRDefault="007D3509" w:rsidP="00C4197C">
            <w:pPr>
              <w:rPr>
                <w:color w:val="000000"/>
                <w:sz w:val="18"/>
                <w:szCs w:val="18"/>
                <w:lang w:eastAsia="en-GB"/>
              </w:rPr>
            </w:pPr>
            <w:r w:rsidRPr="00EC690A">
              <w:rPr>
                <w:color w:val="000000"/>
                <w:sz w:val="18"/>
                <w:szCs w:val="18"/>
                <w:lang w:eastAsia="en-GB"/>
              </w:rPr>
              <w:t>Fee and commission expense</w:t>
            </w:r>
          </w:p>
        </w:tc>
        <w:tc>
          <w:tcPr>
            <w:tcW w:w="786" w:type="pct"/>
            <w:tcBorders>
              <w:top w:val="nil"/>
              <w:left w:val="nil"/>
              <w:bottom w:val="nil"/>
              <w:right w:val="nil"/>
            </w:tcBorders>
            <w:shd w:val="clear" w:color="auto" w:fill="auto"/>
            <w:noWrap/>
            <w:vAlign w:val="bottom"/>
          </w:tcPr>
          <w:p w14:paraId="0CEFE597" w14:textId="0CFA2F9B" w:rsidR="007D3509" w:rsidRPr="00ED4A6C" w:rsidRDefault="00310C73" w:rsidP="00C4197C">
            <w:pPr>
              <w:jc w:val="right"/>
              <w:rPr>
                <w:b/>
                <w:bCs/>
                <w:color w:val="000000"/>
                <w:sz w:val="18"/>
                <w:szCs w:val="18"/>
                <w:lang w:val="ru-RU"/>
              </w:rPr>
            </w:pPr>
            <w:r w:rsidRPr="00ED4A6C">
              <w:rPr>
                <w:b/>
                <w:bCs/>
                <w:color w:val="000000"/>
                <w:sz w:val="18"/>
                <w:szCs w:val="18"/>
                <w:lang w:val="ru-RU"/>
              </w:rPr>
              <w:t>(507,119)</w:t>
            </w:r>
          </w:p>
        </w:tc>
        <w:tc>
          <w:tcPr>
            <w:tcW w:w="856" w:type="pct"/>
            <w:tcBorders>
              <w:top w:val="nil"/>
              <w:left w:val="nil"/>
              <w:bottom w:val="nil"/>
              <w:right w:val="nil"/>
            </w:tcBorders>
            <w:shd w:val="clear" w:color="auto" w:fill="auto"/>
            <w:noWrap/>
            <w:vAlign w:val="bottom"/>
          </w:tcPr>
          <w:p w14:paraId="6A479211" w14:textId="1E5095F6" w:rsidR="007D3509" w:rsidRPr="00ED4A6C" w:rsidRDefault="007D3509" w:rsidP="00C4197C">
            <w:pPr>
              <w:jc w:val="right"/>
              <w:rPr>
                <w:color w:val="000000"/>
                <w:sz w:val="18"/>
                <w:szCs w:val="18"/>
              </w:rPr>
            </w:pPr>
            <w:r w:rsidRPr="00ED4A6C">
              <w:rPr>
                <w:color w:val="000000"/>
                <w:sz w:val="18"/>
                <w:szCs w:val="18"/>
              </w:rPr>
              <w:t>(120,131)</w:t>
            </w:r>
          </w:p>
        </w:tc>
      </w:tr>
      <w:tr w:rsidR="007D3509" w:rsidRPr="00EC690A" w14:paraId="0E31DFA9" w14:textId="77777777" w:rsidTr="00ED4A6C">
        <w:trPr>
          <w:trHeight w:val="300"/>
        </w:trPr>
        <w:tc>
          <w:tcPr>
            <w:tcW w:w="3358" w:type="pct"/>
            <w:tcBorders>
              <w:top w:val="nil"/>
              <w:left w:val="nil"/>
              <w:bottom w:val="nil"/>
              <w:right w:val="nil"/>
            </w:tcBorders>
            <w:shd w:val="clear" w:color="auto" w:fill="auto"/>
            <w:vAlign w:val="bottom"/>
            <w:hideMark/>
          </w:tcPr>
          <w:p w14:paraId="09B0EA0B" w14:textId="77777777" w:rsidR="007D3509" w:rsidRPr="00EC690A" w:rsidRDefault="007D3509" w:rsidP="00C4197C">
            <w:pPr>
              <w:rPr>
                <w:color w:val="000000"/>
                <w:sz w:val="18"/>
                <w:szCs w:val="18"/>
                <w:lang w:eastAsia="en-GB"/>
              </w:rPr>
            </w:pPr>
            <w:r w:rsidRPr="00EC690A">
              <w:rPr>
                <w:color w:val="000000"/>
                <w:sz w:val="18"/>
                <w:szCs w:val="18"/>
                <w:lang w:eastAsia="en-GB"/>
              </w:rPr>
              <w:t xml:space="preserve">Change in deferred acquisition costs </w:t>
            </w:r>
          </w:p>
        </w:tc>
        <w:tc>
          <w:tcPr>
            <w:tcW w:w="786" w:type="pct"/>
            <w:tcBorders>
              <w:top w:val="nil"/>
              <w:left w:val="nil"/>
              <w:bottom w:val="nil"/>
              <w:right w:val="nil"/>
            </w:tcBorders>
            <w:shd w:val="clear" w:color="auto" w:fill="auto"/>
            <w:noWrap/>
            <w:vAlign w:val="bottom"/>
          </w:tcPr>
          <w:p w14:paraId="6203A24C" w14:textId="1F983011" w:rsidR="007D3509" w:rsidRPr="00ED4A6C" w:rsidRDefault="00310C73" w:rsidP="00C4197C">
            <w:pPr>
              <w:jc w:val="right"/>
              <w:rPr>
                <w:b/>
                <w:bCs/>
                <w:color w:val="000000"/>
                <w:sz w:val="18"/>
                <w:szCs w:val="18"/>
                <w:lang w:val="ru-RU" w:eastAsia="en-GB"/>
              </w:rPr>
            </w:pPr>
            <w:r w:rsidRPr="00ED4A6C">
              <w:rPr>
                <w:b/>
                <w:bCs/>
                <w:color w:val="000000"/>
                <w:sz w:val="18"/>
                <w:szCs w:val="18"/>
                <w:lang w:val="ru-RU" w:eastAsia="en-GB"/>
              </w:rPr>
              <w:t>163,752</w:t>
            </w:r>
          </w:p>
        </w:tc>
        <w:tc>
          <w:tcPr>
            <w:tcW w:w="856" w:type="pct"/>
            <w:tcBorders>
              <w:top w:val="nil"/>
              <w:left w:val="nil"/>
              <w:bottom w:val="nil"/>
              <w:right w:val="nil"/>
            </w:tcBorders>
            <w:shd w:val="clear" w:color="auto" w:fill="auto"/>
            <w:noWrap/>
            <w:vAlign w:val="bottom"/>
          </w:tcPr>
          <w:p w14:paraId="40761C8B" w14:textId="6F64FE99" w:rsidR="007D3509" w:rsidRPr="00ED4A6C" w:rsidRDefault="007D3509" w:rsidP="00C4197C">
            <w:pPr>
              <w:jc w:val="right"/>
              <w:rPr>
                <w:color w:val="000000"/>
                <w:sz w:val="18"/>
                <w:szCs w:val="18"/>
                <w:lang w:eastAsia="en-GB"/>
              </w:rPr>
            </w:pPr>
            <w:r w:rsidRPr="00ED4A6C">
              <w:rPr>
                <w:color w:val="000000"/>
                <w:sz w:val="18"/>
                <w:szCs w:val="18"/>
                <w:lang w:eastAsia="en-GB"/>
              </w:rPr>
              <w:t>1,106</w:t>
            </w:r>
          </w:p>
        </w:tc>
      </w:tr>
      <w:tr w:rsidR="007D3509" w:rsidRPr="00EC690A" w14:paraId="6EADACEC" w14:textId="77777777" w:rsidTr="00ED4A6C">
        <w:trPr>
          <w:trHeight w:val="300"/>
        </w:trPr>
        <w:tc>
          <w:tcPr>
            <w:tcW w:w="3358" w:type="pct"/>
            <w:tcBorders>
              <w:top w:val="nil"/>
              <w:left w:val="nil"/>
              <w:bottom w:val="nil"/>
              <w:right w:val="nil"/>
            </w:tcBorders>
            <w:shd w:val="clear" w:color="auto" w:fill="auto"/>
            <w:vAlign w:val="bottom"/>
            <w:hideMark/>
          </w:tcPr>
          <w:p w14:paraId="2A5DFDBC" w14:textId="77777777" w:rsidR="007D3509" w:rsidRPr="00EC690A" w:rsidRDefault="007D3509" w:rsidP="00C4197C">
            <w:pPr>
              <w:rPr>
                <w:color w:val="000000"/>
                <w:sz w:val="18"/>
                <w:szCs w:val="18"/>
                <w:lang w:eastAsia="en-GB"/>
              </w:rPr>
            </w:pPr>
            <w:r w:rsidRPr="00EC690A">
              <w:rPr>
                <w:color w:val="000000"/>
                <w:sz w:val="18"/>
                <w:szCs w:val="18"/>
                <w:lang w:eastAsia="en-GB"/>
              </w:rPr>
              <w:t>Change in deferred commission income</w:t>
            </w:r>
          </w:p>
        </w:tc>
        <w:tc>
          <w:tcPr>
            <w:tcW w:w="786" w:type="pct"/>
            <w:tcBorders>
              <w:top w:val="nil"/>
              <w:left w:val="nil"/>
              <w:bottom w:val="nil"/>
              <w:right w:val="nil"/>
            </w:tcBorders>
            <w:shd w:val="clear" w:color="auto" w:fill="auto"/>
            <w:noWrap/>
            <w:vAlign w:val="bottom"/>
          </w:tcPr>
          <w:p w14:paraId="76C5EDAC" w14:textId="1A01DC51" w:rsidR="007D3509" w:rsidRPr="00ED4A6C" w:rsidRDefault="00310C73" w:rsidP="00C4197C">
            <w:pPr>
              <w:jc w:val="right"/>
              <w:rPr>
                <w:b/>
                <w:bCs/>
                <w:color w:val="000000"/>
                <w:sz w:val="18"/>
                <w:szCs w:val="18"/>
                <w:lang w:val="ru-RU" w:eastAsia="en-GB"/>
              </w:rPr>
            </w:pPr>
            <w:r w:rsidRPr="00ED4A6C">
              <w:rPr>
                <w:b/>
                <w:bCs/>
                <w:color w:val="000000"/>
                <w:sz w:val="18"/>
                <w:szCs w:val="18"/>
                <w:lang w:val="ru-RU" w:eastAsia="en-GB"/>
              </w:rPr>
              <w:t>(19,803)</w:t>
            </w:r>
          </w:p>
        </w:tc>
        <w:tc>
          <w:tcPr>
            <w:tcW w:w="856" w:type="pct"/>
            <w:tcBorders>
              <w:top w:val="nil"/>
              <w:left w:val="nil"/>
              <w:bottom w:val="nil"/>
              <w:right w:val="nil"/>
            </w:tcBorders>
            <w:shd w:val="clear" w:color="auto" w:fill="auto"/>
            <w:noWrap/>
            <w:vAlign w:val="bottom"/>
          </w:tcPr>
          <w:p w14:paraId="223BE42F" w14:textId="74A8684A" w:rsidR="007D3509" w:rsidRPr="00ED4A6C" w:rsidRDefault="007D3509" w:rsidP="00C4197C">
            <w:pPr>
              <w:jc w:val="right"/>
              <w:rPr>
                <w:color w:val="000000"/>
                <w:sz w:val="18"/>
                <w:szCs w:val="18"/>
                <w:lang w:eastAsia="en-GB"/>
              </w:rPr>
            </w:pPr>
            <w:r w:rsidRPr="00ED4A6C">
              <w:rPr>
                <w:color w:val="000000"/>
                <w:sz w:val="18"/>
                <w:szCs w:val="18"/>
                <w:lang w:eastAsia="en-GB"/>
              </w:rPr>
              <w:t>(6,828)</w:t>
            </w:r>
          </w:p>
        </w:tc>
      </w:tr>
      <w:tr w:rsidR="007D3509" w:rsidRPr="00EC690A" w14:paraId="47B6CD03" w14:textId="77777777" w:rsidTr="00ED4A6C">
        <w:trPr>
          <w:trHeight w:val="315"/>
        </w:trPr>
        <w:tc>
          <w:tcPr>
            <w:tcW w:w="3358" w:type="pct"/>
            <w:tcBorders>
              <w:top w:val="single" w:sz="4" w:space="0" w:color="auto"/>
              <w:left w:val="nil"/>
              <w:bottom w:val="double" w:sz="6" w:space="0" w:color="auto"/>
              <w:right w:val="nil"/>
            </w:tcBorders>
            <w:shd w:val="clear" w:color="auto" w:fill="auto"/>
            <w:noWrap/>
            <w:vAlign w:val="bottom"/>
            <w:hideMark/>
          </w:tcPr>
          <w:p w14:paraId="17CFCF60" w14:textId="77777777" w:rsidR="007D3509" w:rsidRPr="00EC690A" w:rsidRDefault="007D3509" w:rsidP="00C4197C">
            <w:pPr>
              <w:rPr>
                <w:b/>
                <w:bCs/>
                <w:color w:val="000000"/>
                <w:sz w:val="18"/>
                <w:szCs w:val="18"/>
                <w:lang w:eastAsia="en-GB"/>
              </w:rPr>
            </w:pPr>
            <w:r w:rsidRPr="00EC690A">
              <w:rPr>
                <w:b/>
                <w:bCs/>
                <w:color w:val="000000"/>
                <w:sz w:val="18"/>
                <w:szCs w:val="18"/>
                <w:lang w:eastAsia="en-GB"/>
              </w:rPr>
              <w:t>Net acquisition gains/(costs)</w:t>
            </w:r>
          </w:p>
        </w:tc>
        <w:tc>
          <w:tcPr>
            <w:tcW w:w="786" w:type="pct"/>
            <w:tcBorders>
              <w:top w:val="single" w:sz="4" w:space="0" w:color="auto"/>
              <w:left w:val="nil"/>
              <w:bottom w:val="double" w:sz="6" w:space="0" w:color="auto"/>
              <w:right w:val="nil"/>
            </w:tcBorders>
            <w:shd w:val="clear" w:color="auto" w:fill="auto"/>
            <w:noWrap/>
            <w:vAlign w:val="bottom"/>
          </w:tcPr>
          <w:p w14:paraId="093A4779" w14:textId="4A434670" w:rsidR="007D3509" w:rsidRPr="00ED4A6C" w:rsidRDefault="00310C73" w:rsidP="00C4197C">
            <w:pPr>
              <w:jc w:val="right"/>
              <w:rPr>
                <w:b/>
                <w:bCs/>
                <w:color w:val="000000"/>
                <w:sz w:val="18"/>
                <w:szCs w:val="18"/>
                <w:lang w:val="ru-RU" w:eastAsia="en-GB"/>
              </w:rPr>
            </w:pPr>
            <w:r w:rsidRPr="00ED4A6C">
              <w:rPr>
                <w:b/>
                <w:bCs/>
                <w:color w:val="000000"/>
                <w:sz w:val="18"/>
                <w:szCs w:val="18"/>
                <w:lang w:val="ru-RU" w:eastAsia="en-GB"/>
              </w:rPr>
              <w:t>(51,542)</w:t>
            </w:r>
          </w:p>
        </w:tc>
        <w:tc>
          <w:tcPr>
            <w:tcW w:w="856" w:type="pct"/>
            <w:tcBorders>
              <w:top w:val="single" w:sz="4" w:space="0" w:color="auto"/>
              <w:left w:val="nil"/>
              <w:bottom w:val="double" w:sz="6" w:space="0" w:color="auto"/>
              <w:right w:val="nil"/>
            </w:tcBorders>
            <w:shd w:val="clear" w:color="auto" w:fill="auto"/>
            <w:noWrap/>
            <w:vAlign w:val="bottom"/>
          </w:tcPr>
          <w:p w14:paraId="1BD4A47B" w14:textId="232C80F6" w:rsidR="007D3509" w:rsidRPr="00ED4A6C" w:rsidRDefault="007D3509" w:rsidP="00C4197C">
            <w:pPr>
              <w:jc w:val="right"/>
              <w:rPr>
                <w:color w:val="000000"/>
                <w:sz w:val="18"/>
                <w:szCs w:val="18"/>
                <w:lang w:eastAsia="en-GB"/>
              </w:rPr>
            </w:pPr>
            <w:r w:rsidRPr="00ED4A6C">
              <w:rPr>
                <w:color w:val="000000"/>
                <w:sz w:val="18"/>
                <w:szCs w:val="18"/>
                <w:lang w:eastAsia="en-GB"/>
              </w:rPr>
              <w:t>48,964</w:t>
            </w:r>
          </w:p>
        </w:tc>
      </w:tr>
    </w:tbl>
    <w:p w14:paraId="0581A42B" w14:textId="77777777" w:rsidR="007D3509" w:rsidRPr="007D3509" w:rsidRDefault="007D3509" w:rsidP="007D3509">
      <w:pPr>
        <w:rPr>
          <w:b/>
          <w:bCs/>
          <w:sz w:val="18"/>
          <w:szCs w:val="18"/>
        </w:rPr>
      </w:pPr>
    </w:p>
    <w:p w14:paraId="58981AC7" w14:textId="78FFB055" w:rsidR="00995233" w:rsidRDefault="007D3509" w:rsidP="007D3509">
      <w:pPr>
        <w:pStyle w:val="ListParagraph"/>
        <w:numPr>
          <w:ilvl w:val="0"/>
          <w:numId w:val="1"/>
        </w:numPr>
        <w:spacing w:before="240" w:after="120"/>
        <w:ind w:left="357" w:hanging="357"/>
        <w:contextualSpacing w:val="0"/>
        <w:outlineLvl w:val="0"/>
        <w:rPr>
          <w:b/>
          <w:bCs/>
          <w:sz w:val="18"/>
          <w:szCs w:val="18"/>
        </w:rPr>
      </w:pPr>
      <w:bookmarkStart w:id="66" w:name="_Toc57894910"/>
      <w:r>
        <w:rPr>
          <w:b/>
          <w:bCs/>
          <w:sz w:val="18"/>
          <w:szCs w:val="18"/>
        </w:rPr>
        <w:t>Operating expenses</w:t>
      </w:r>
      <w:bookmarkEnd w:id="66"/>
    </w:p>
    <w:tbl>
      <w:tblPr>
        <w:tblW w:w="5000" w:type="pct"/>
        <w:tblLook w:val="04A0" w:firstRow="1" w:lastRow="0" w:firstColumn="1" w:lastColumn="0" w:noHBand="0" w:noVBand="1"/>
      </w:tblPr>
      <w:tblGrid>
        <w:gridCol w:w="5681"/>
        <w:gridCol w:w="1316"/>
        <w:gridCol w:w="1507"/>
      </w:tblGrid>
      <w:tr w:rsidR="007D3509" w:rsidRPr="00EC690A" w14:paraId="243ADEF6" w14:textId="77777777" w:rsidTr="006549C6">
        <w:trPr>
          <w:trHeight w:val="300"/>
        </w:trPr>
        <w:tc>
          <w:tcPr>
            <w:tcW w:w="3340" w:type="pct"/>
            <w:tcBorders>
              <w:top w:val="nil"/>
              <w:left w:val="nil"/>
              <w:bottom w:val="single" w:sz="4" w:space="0" w:color="auto"/>
              <w:right w:val="nil"/>
            </w:tcBorders>
            <w:shd w:val="clear" w:color="auto" w:fill="auto"/>
            <w:noWrap/>
            <w:vAlign w:val="bottom"/>
            <w:hideMark/>
          </w:tcPr>
          <w:p w14:paraId="344CF4E4" w14:textId="77777777" w:rsidR="007D3509" w:rsidRPr="00EC690A" w:rsidRDefault="007D3509" w:rsidP="00C4197C">
            <w:pPr>
              <w:jc w:val="right"/>
              <w:rPr>
                <w:b/>
                <w:bCs/>
                <w:color w:val="000000"/>
                <w:sz w:val="18"/>
                <w:szCs w:val="18"/>
                <w:lang w:eastAsia="en-GB"/>
              </w:rPr>
            </w:pPr>
            <w:r w:rsidRPr="00EC690A">
              <w:rPr>
                <w:b/>
                <w:bCs/>
                <w:color w:val="000000"/>
                <w:sz w:val="18"/>
                <w:szCs w:val="18"/>
                <w:lang w:eastAsia="en-GB"/>
              </w:rPr>
              <w:t> </w:t>
            </w:r>
          </w:p>
        </w:tc>
        <w:tc>
          <w:tcPr>
            <w:tcW w:w="774" w:type="pct"/>
            <w:tcBorders>
              <w:top w:val="nil"/>
              <w:left w:val="nil"/>
              <w:bottom w:val="single" w:sz="4" w:space="0" w:color="auto"/>
              <w:right w:val="nil"/>
            </w:tcBorders>
            <w:shd w:val="clear" w:color="auto" w:fill="auto"/>
            <w:noWrap/>
            <w:vAlign w:val="bottom"/>
            <w:hideMark/>
          </w:tcPr>
          <w:p w14:paraId="63458F93" w14:textId="5EC6A907" w:rsidR="007D3509" w:rsidRPr="00703807" w:rsidRDefault="007D3509" w:rsidP="00C4197C">
            <w:pPr>
              <w:jc w:val="right"/>
              <w:rPr>
                <w:b/>
                <w:bCs/>
                <w:color w:val="000000"/>
                <w:sz w:val="18"/>
                <w:szCs w:val="18"/>
                <w:lang w:eastAsia="en-GB"/>
              </w:rPr>
            </w:pPr>
            <w:r w:rsidRPr="00703807">
              <w:rPr>
                <w:b/>
                <w:bCs/>
                <w:color w:val="000000"/>
                <w:sz w:val="18"/>
                <w:szCs w:val="18"/>
                <w:lang w:eastAsia="en-GB"/>
              </w:rPr>
              <w:t>2019</w:t>
            </w:r>
          </w:p>
        </w:tc>
        <w:tc>
          <w:tcPr>
            <w:tcW w:w="886" w:type="pct"/>
            <w:tcBorders>
              <w:top w:val="nil"/>
              <w:left w:val="nil"/>
              <w:bottom w:val="single" w:sz="4" w:space="0" w:color="auto"/>
              <w:right w:val="nil"/>
            </w:tcBorders>
            <w:shd w:val="clear" w:color="auto" w:fill="auto"/>
            <w:noWrap/>
            <w:vAlign w:val="bottom"/>
            <w:hideMark/>
          </w:tcPr>
          <w:p w14:paraId="7EA1E77F" w14:textId="2D5625E4" w:rsidR="007D3509" w:rsidRPr="00703807" w:rsidRDefault="007D3509" w:rsidP="00C4197C">
            <w:pPr>
              <w:jc w:val="right"/>
              <w:rPr>
                <w:color w:val="000000"/>
                <w:sz w:val="18"/>
                <w:szCs w:val="18"/>
                <w:lang w:eastAsia="en-GB"/>
              </w:rPr>
            </w:pPr>
            <w:r w:rsidRPr="00703807">
              <w:rPr>
                <w:color w:val="000000"/>
                <w:sz w:val="18"/>
                <w:szCs w:val="18"/>
                <w:lang w:eastAsia="en-GB"/>
              </w:rPr>
              <w:t>2018</w:t>
            </w:r>
          </w:p>
        </w:tc>
      </w:tr>
      <w:tr w:rsidR="007D3509" w:rsidRPr="00EC690A" w14:paraId="6728C0F4" w14:textId="77777777" w:rsidTr="006549C6">
        <w:trPr>
          <w:trHeight w:val="300"/>
        </w:trPr>
        <w:tc>
          <w:tcPr>
            <w:tcW w:w="3340" w:type="pct"/>
            <w:tcBorders>
              <w:top w:val="nil"/>
              <w:left w:val="nil"/>
              <w:bottom w:val="nil"/>
              <w:right w:val="nil"/>
            </w:tcBorders>
            <w:shd w:val="clear" w:color="auto" w:fill="auto"/>
            <w:noWrap/>
            <w:vAlign w:val="bottom"/>
            <w:hideMark/>
          </w:tcPr>
          <w:p w14:paraId="45EDDDE8" w14:textId="4CF4A33E" w:rsidR="007D3509" w:rsidRPr="00EC690A" w:rsidRDefault="007D3509" w:rsidP="00C4197C">
            <w:pPr>
              <w:rPr>
                <w:color w:val="000000"/>
                <w:sz w:val="18"/>
                <w:szCs w:val="18"/>
                <w:lang w:eastAsia="en-GB"/>
              </w:rPr>
            </w:pPr>
            <w:r w:rsidRPr="00EC690A">
              <w:rPr>
                <w:color w:val="000000"/>
                <w:sz w:val="18"/>
                <w:szCs w:val="18"/>
              </w:rPr>
              <w:t>Salary and bonuses</w:t>
            </w:r>
          </w:p>
        </w:tc>
        <w:tc>
          <w:tcPr>
            <w:tcW w:w="774" w:type="pct"/>
            <w:tcBorders>
              <w:top w:val="nil"/>
              <w:left w:val="nil"/>
              <w:bottom w:val="nil"/>
              <w:right w:val="nil"/>
            </w:tcBorders>
            <w:shd w:val="clear" w:color="auto" w:fill="auto"/>
            <w:noWrap/>
            <w:vAlign w:val="bottom"/>
          </w:tcPr>
          <w:p w14:paraId="752A7182" w14:textId="6DFB4304" w:rsidR="007D3509" w:rsidRPr="00703807" w:rsidRDefault="00F84194" w:rsidP="00C4197C">
            <w:pPr>
              <w:jc w:val="right"/>
              <w:rPr>
                <w:b/>
                <w:bCs/>
                <w:color w:val="000000"/>
                <w:sz w:val="18"/>
                <w:szCs w:val="18"/>
                <w:lang w:val="ru-RU" w:eastAsia="en-GB"/>
              </w:rPr>
            </w:pPr>
            <w:r w:rsidRPr="00703807">
              <w:rPr>
                <w:b/>
                <w:bCs/>
                <w:color w:val="000000"/>
                <w:sz w:val="18"/>
                <w:szCs w:val="18"/>
                <w:lang w:val="ru-RU" w:eastAsia="en-GB"/>
              </w:rPr>
              <w:t>1,300,643</w:t>
            </w:r>
          </w:p>
        </w:tc>
        <w:tc>
          <w:tcPr>
            <w:tcW w:w="886" w:type="pct"/>
            <w:tcBorders>
              <w:top w:val="nil"/>
              <w:left w:val="nil"/>
              <w:bottom w:val="nil"/>
              <w:right w:val="nil"/>
            </w:tcBorders>
            <w:shd w:val="clear" w:color="auto" w:fill="auto"/>
            <w:noWrap/>
            <w:vAlign w:val="bottom"/>
          </w:tcPr>
          <w:p w14:paraId="78516F53" w14:textId="47D0686E" w:rsidR="007D3509" w:rsidRPr="00703807" w:rsidRDefault="007D3509" w:rsidP="00C4197C">
            <w:pPr>
              <w:jc w:val="right"/>
              <w:rPr>
                <w:color w:val="000000"/>
                <w:sz w:val="18"/>
                <w:szCs w:val="18"/>
                <w:lang w:eastAsia="en-GB"/>
              </w:rPr>
            </w:pPr>
            <w:r w:rsidRPr="00703807">
              <w:rPr>
                <w:color w:val="000000"/>
                <w:sz w:val="18"/>
                <w:szCs w:val="18"/>
                <w:lang w:eastAsia="en-GB"/>
              </w:rPr>
              <w:t>1,113,746</w:t>
            </w:r>
          </w:p>
        </w:tc>
      </w:tr>
      <w:tr w:rsidR="00F84194" w:rsidRPr="00EC690A" w14:paraId="4C32F5E5" w14:textId="77777777" w:rsidTr="006549C6">
        <w:trPr>
          <w:trHeight w:val="300"/>
        </w:trPr>
        <w:tc>
          <w:tcPr>
            <w:tcW w:w="3340" w:type="pct"/>
            <w:tcBorders>
              <w:top w:val="nil"/>
              <w:left w:val="nil"/>
              <w:bottom w:val="nil"/>
              <w:right w:val="nil"/>
            </w:tcBorders>
            <w:shd w:val="clear" w:color="auto" w:fill="auto"/>
            <w:noWrap/>
            <w:vAlign w:val="bottom"/>
          </w:tcPr>
          <w:p w14:paraId="739993C6" w14:textId="256DCC36" w:rsidR="00F84194" w:rsidRPr="00EC690A" w:rsidRDefault="00F84194" w:rsidP="00C4197C">
            <w:pPr>
              <w:rPr>
                <w:color w:val="000000"/>
                <w:sz w:val="18"/>
                <w:szCs w:val="18"/>
              </w:rPr>
            </w:pPr>
            <w:r w:rsidRPr="00EC690A">
              <w:rPr>
                <w:color w:val="000000"/>
                <w:sz w:val="18"/>
                <w:szCs w:val="18"/>
              </w:rPr>
              <w:t>Bank commissions</w:t>
            </w:r>
          </w:p>
        </w:tc>
        <w:tc>
          <w:tcPr>
            <w:tcW w:w="774" w:type="pct"/>
            <w:tcBorders>
              <w:top w:val="nil"/>
              <w:left w:val="nil"/>
              <w:bottom w:val="nil"/>
              <w:right w:val="nil"/>
            </w:tcBorders>
            <w:shd w:val="clear" w:color="auto" w:fill="auto"/>
            <w:noWrap/>
            <w:vAlign w:val="bottom"/>
          </w:tcPr>
          <w:p w14:paraId="65C70E1C" w14:textId="0652BE4B" w:rsidR="00F84194" w:rsidRPr="00703807" w:rsidRDefault="00500031" w:rsidP="00C4197C">
            <w:pPr>
              <w:jc w:val="right"/>
              <w:rPr>
                <w:b/>
                <w:bCs/>
                <w:color w:val="000000"/>
                <w:sz w:val="18"/>
                <w:szCs w:val="18"/>
                <w:lang w:val="en-US" w:eastAsia="en-GB"/>
              </w:rPr>
            </w:pPr>
            <w:r w:rsidRPr="00703807">
              <w:rPr>
                <w:b/>
                <w:bCs/>
                <w:color w:val="000000"/>
                <w:sz w:val="18"/>
                <w:szCs w:val="18"/>
                <w:lang w:val="en-US" w:eastAsia="en-GB"/>
              </w:rPr>
              <w:t>128,436</w:t>
            </w:r>
          </w:p>
        </w:tc>
        <w:tc>
          <w:tcPr>
            <w:tcW w:w="886" w:type="pct"/>
            <w:tcBorders>
              <w:top w:val="nil"/>
              <w:left w:val="nil"/>
              <w:bottom w:val="nil"/>
              <w:right w:val="nil"/>
            </w:tcBorders>
            <w:shd w:val="clear" w:color="auto" w:fill="auto"/>
            <w:noWrap/>
            <w:vAlign w:val="bottom"/>
          </w:tcPr>
          <w:p w14:paraId="207539B1" w14:textId="6D9A3488" w:rsidR="00F84194" w:rsidRPr="00703807" w:rsidRDefault="00F84194" w:rsidP="00C4197C">
            <w:pPr>
              <w:jc w:val="right"/>
              <w:rPr>
                <w:color w:val="000000"/>
                <w:sz w:val="18"/>
                <w:szCs w:val="18"/>
                <w:lang w:val="ru-RU" w:eastAsia="en-GB"/>
              </w:rPr>
            </w:pPr>
            <w:r w:rsidRPr="00703807">
              <w:rPr>
                <w:color w:val="000000"/>
                <w:sz w:val="18"/>
                <w:szCs w:val="18"/>
                <w:lang w:val="ru-RU" w:eastAsia="en-GB"/>
              </w:rPr>
              <w:t>80,059</w:t>
            </w:r>
          </w:p>
        </w:tc>
      </w:tr>
      <w:tr w:rsidR="00F84194" w:rsidRPr="00EC690A" w14:paraId="4BAB2C35" w14:textId="77777777" w:rsidTr="006549C6">
        <w:trPr>
          <w:trHeight w:val="300"/>
        </w:trPr>
        <w:tc>
          <w:tcPr>
            <w:tcW w:w="3340" w:type="pct"/>
            <w:tcBorders>
              <w:top w:val="nil"/>
              <w:left w:val="nil"/>
              <w:bottom w:val="nil"/>
              <w:right w:val="nil"/>
            </w:tcBorders>
            <w:shd w:val="clear" w:color="auto" w:fill="auto"/>
            <w:noWrap/>
            <w:vAlign w:val="bottom"/>
          </w:tcPr>
          <w:p w14:paraId="2E0B3C38" w14:textId="55FDDC0A" w:rsidR="00F84194" w:rsidRPr="00EC690A" w:rsidRDefault="00F84194" w:rsidP="00F84194">
            <w:pPr>
              <w:rPr>
                <w:color w:val="000000"/>
                <w:sz w:val="18"/>
                <w:szCs w:val="18"/>
              </w:rPr>
            </w:pPr>
            <w:r w:rsidRPr="00EC690A">
              <w:rPr>
                <w:color w:val="000000"/>
                <w:sz w:val="18"/>
                <w:szCs w:val="18"/>
              </w:rPr>
              <w:t>Taxes other than income tax</w:t>
            </w:r>
          </w:p>
        </w:tc>
        <w:tc>
          <w:tcPr>
            <w:tcW w:w="774" w:type="pct"/>
            <w:tcBorders>
              <w:top w:val="nil"/>
              <w:left w:val="nil"/>
              <w:bottom w:val="nil"/>
              <w:right w:val="nil"/>
            </w:tcBorders>
            <w:shd w:val="clear" w:color="auto" w:fill="auto"/>
            <w:noWrap/>
            <w:vAlign w:val="bottom"/>
          </w:tcPr>
          <w:p w14:paraId="0011FB80" w14:textId="221EC9F1" w:rsidR="00F84194" w:rsidRPr="00703807" w:rsidRDefault="00F84194" w:rsidP="00F84194">
            <w:pPr>
              <w:jc w:val="right"/>
              <w:rPr>
                <w:b/>
                <w:bCs/>
                <w:color w:val="000000"/>
                <w:sz w:val="18"/>
                <w:szCs w:val="18"/>
                <w:lang w:eastAsia="en-GB"/>
              </w:rPr>
            </w:pPr>
            <w:r w:rsidRPr="00703807">
              <w:rPr>
                <w:b/>
                <w:bCs/>
                <w:color w:val="000000"/>
                <w:sz w:val="18"/>
                <w:szCs w:val="18"/>
                <w:lang w:eastAsia="en-GB"/>
              </w:rPr>
              <w:t>128,071</w:t>
            </w:r>
          </w:p>
        </w:tc>
        <w:tc>
          <w:tcPr>
            <w:tcW w:w="886" w:type="pct"/>
            <w:tcBorders>
              <w:top w:val="nil"/>
              <w:left w:val="nil"/>
              <w:bottom w:val="nil"/>
              <w:right w:val="nil"/>
            </w:tcBorders>
            <w:shd w:val="clear" w:color="auto" w:fill="auto"/>
            <w:noWrap/>
            <w:vAlign w:val="bottom"/>
          </w:tcPr>
          <w:p w14:paraId="4CEA1818" w14:textId="40B8B14E" w:rsidR="00F84194" w:rsidRPr="00703807" w:rsidRDefault="00F84194" w:rsidP="00F84194">
            <w:pPr>
              <w:jc w:val="right"/>
              <w:rPr>
                <w:color w:val="000000"/>
                <w:sz w:val="18"/>
                <w:szCs w:val="18"/>
                <w:lang w:val="ru-RU" w:eastAsia="en-GB"/>
              </w:rPr>
            </w:pPr>
            <w:r w:rsidRPr="00703807">
              <w:rPr>
                <w:color w:val="000000"/>
                <w:sz w:val="18"/>
                <w:szCs w:val="18"/>
                <w:lang w:val="ru-RU" w:eastAsia="en-GB"/>
              </w:rPr>
              <w:t>72,546</w:t>
            </w:r>
          </w:p>
        </w:tc>
      </w:tr>
      <w:tr w:rsidR="00F84194" w:rsidRPr="00EC690A" w14:paraId="0D4E8C0C" w14:textId="77777777" w:rsidTr="006549C6">
        <w:trPr>
          <w:trHeight w:val="300"/>
        </w:trPr>
        <w:tc>
          <w:tcPr>
            <w:tcW w:w="3340" w:type="pct"/>
            <w:tcBorders>
              <w:top w:val="nil"/>
              <w:left w:val="nil"/>
              <w:bottom w:val="nil"/>
              <w:right w:val="nil"/>
            </w:tcBorders>
            <w:shd w:val="clear" w:color="auto" w:fill="auto"/>
            <w:noWrap/>
            <w:vAlign w:val="bottom"/>
          </w:tcPr>
          <w:p w14:paraId="2D3AFD09" w14:textId="3ECF814F" w:rsidR="00F84194" w:rsidRPr="00EC690A" w:rsidRDefault="00F84194" w:rsidP="00F84194">
            <w:pPr>
              <w:rPr>
                <w:color w:val="000000"/>
                <w:sz w:val="18"/>
                <w:szCs w:val="18"/>
              </w:rPr>
            </w:pPr>
            <w:r w:rsidRPr="00EC690A">
              <w:rPr>
                <w:color w:val="000000"/>
                <w:sz w:val="18"/>
                <w:szCs w:val="18"/>
              </w:rPr>
              <w:t>Depreciation charge</w:t>
            </w:r>
            <w:r>
              <w:rPr>
                <w:color w:val="000000"/>
                <w:sz w:val="18"/>
                <w:szCs w:val="18"/>
              </w:rPr>
              <w:t xml:space="preserve"> and amortisation expenses</w:t>
            </w:r>
          </w:p>
        </w:tc>
        <w:tc>
          <w:tcPr>
            <w:tcW w:w="774" w:type="pct"/>
            <w:tcBorders>
              <w:top w:val="nil"/>
              <w:left w:val="nil"/>
              <w:bottom w:val="nil"/>
              <w:right w:val="nil"/>
            </w:tcBorders>
            <w:shd w:val="clear" w:color="auto" w:fill="auto"/>
            <w:noWrap/>
            <w:vAlign w:val="bottom"/>
          </w:tcPr>
          <w:p w14:paraId="4B0A15D0" w14:textId="5B820C8C" w:rsidR="00F84194" w:rsidRPr="00703807" w:rsidRDefault="00F84194" w:rsidP="00F84194">
            <w:pPr>
              <w:jc w:val="right"/>
              <w:rPr>
                <w:b/>
                <w:bCs/>
                <w:color w:val="000000"/>
                <w:sz w:val="18"/>
                <w:szCs w:val="18"/>
                <w:lang w:eastAsia="en-GB"/>
              </w:rPr>
            </w:pPr>
            <w:r w:rsidRPr="00703807">
              <w:rPr>
                <w:b/>
                <w:bCs/>
                <w:color w:val="000000"/>
                <w:sz w:val="18"/>
                <w:szCs w:val="18"/>
                <w:lang w:eastAsia="en-GB"/>
              </w:rPr>
              <w:t>115,906</w:t>
            </w:r>
          </w:p>
        </w:tc>
        <w:tc>
          <w:tcPr>
            <w:tcW w:w="886" w:type="pct"/>
            <w:tcBorders>
              <w:top w:val="nil"/>
              <w:left w:val="nil"/>
              <w:bottom w:val="nil"/>
              <w:right w:val="nil"/>
            </w:tcBorders>
            <w:shd w:val="clear" w:color="auto" w:fill="auto"/>
            <w:noWrap/>
            <w:vAlign w:val="bottom"/>
          </w:tcPr>
          <w:p w14:paraId="5CF3BAB5" w14:textId="0875F661" w:rsidR="00F84194" w:rsidRPr="00703807" w:rsidRDefault="00F84194" w:rsidP="00F84194">
            <w:pPr>
              <w:jc w:val="right"/>
              <w:rPr>
                <w:color w:val="000000"/>
                <w:sz w:val="18"/>
                <w:szCs w:val="18"/>
                <w:lang w:eastAsia="en-GB"/>
              </w:rPr>
            </w:pPr>
            <w:r w:rsidRPr="00703807">
              <w:rPr>
                <w:color w:val="000000"/>
                <w:sz w:val="18"/>
                <w:szCs w:val="18"/>
                <w:lang w:eastAsia="en-GB"/>
              </w:rPr>
              <w:t>88,001</w:t>
            </w:r>
          </w:p>
        </w:tc>
      </w:tr>
      <w:tr w:rsidR="00F84194" w:rsidRPr="00EC690A" w14:paraId="2505BBFA" w14:textId="77777777" w:rsidTr="006549C6">
        <w:trPr>
          <w:trHeight w:val="300"/>
        </w:trPr>
        <w:tc>
          <w:tcPr>
            <w:tcW w:w="3340" w:type="pct"/>
            <w:tcBorders>
              <w:top w:val="nil"/>
              <w:left w:val="nil"/>
              <w:bottom w:val="nil"/>
              <w:right w:val="nil"/>
            </w:tcBorders>
            <w:shd w:val="clear" w:color="auto" w:fill="auto"/>
            <w:noWrap/>
            <w:vAlign w:val="bottom"/>
          </w:tcPr>
          <w:p w14:paraId="2A955DEA" w14:textId="28FDAA7C" w:rsidR="00F84194" w:rsidRPr="00EC690A" w:rsidRDefault="00F84194" w:rsidP="00F84194">
            <w:pPr>
              <w:rPr>
                <w:color w:val="000000"/>
                <w:sz w:val="18"/>
                <w:szCs w:val="18"/>
              </w:rPr>
            </w:pPr>
            <w:r>
              <w:rPr>
                <w:color w:val="000000"/>
                <w:sz w:val="18"/>
                <w:szCs w:val="18"/>
              </w:rPr>
              <w:t>Depreciation of right-of-use assets</w:t>
            </w:r>
          </w:p>
        </w:tc>
        <w:tc>
          <w:tcPr>
            <w:tcW w:w="774" w:type="pct"/>
            <w:tcBorders>
              <w:top w:val="nil"/>
              <w:left w:val="nil"/>
              <w:bottom w:val="nil"/>
              <w:right w:val="nil"/>
            </w:tcBorders>
            <w:shd w:val="clear" w:color="auto" w:fill="auto"/>
            <w:noWrap/>
            <w:vAlign w:val="bottom"/>
          </w:tcPr>
          <w:p w14:paraId="3F409ECB" w14:textId="1739DC23" w:rsidR="00F84194" w:rsidRPr="00703807" w:rsidRDefault="00AF4170" w:rsidP="00F84194">
            <w:pPr>
              <w:jc w:val="right"/>
              <w:rPr>
                <w:b/>
                <w:bCs/>
                <w:color w:val="000000"/>
                <w:sz w:val="18"/>
                <w:szCs w:val="18"/>
                <w:lang w:eastAsia="en-GB"/>
              </w:rPr>
            </w:pPr>
            <w:r w:rsidRPr="00703807">
              <w:rPr>
                <w:b/>
                <w:bCs/>
                <w:color w:val="000000"/>
                <w:sz w:val="18"/>
                <w:szCs w:val="18"/>
                <w:lang w:eastAsia="en-GB"/>
              </w:rPr>
              <w:t>85,171</w:t>
            </w:r>
          </w:p>
        </w:tc>
        <w:tc>
          <w:tcPr>
            <w:tcW w:w="886" w:type="pct"/>
            <w:tcBorders>
              <w:top w:val="nil"/>
              <w:left w:val="nil"/>
              <w:bottom w:val="nil"/>
              <w:right w:val="nil"/>
            </w:tcBorders>
            <w:shd w:val="clear" w:color="auto" w:fill="auto"/>
            <w:noWrap/>
            <w:vAlign w:val="bottom"/>
          </w:tcPr>
          <w:p w14:paraId="2D18A1D9" w14:textId="21BED9C6" w:rsidR="00F84194" w:rsidRPr="00703807" w:rsidRDefault="00AF4170" w:rsidP="00F84194">
            <w:pPr>
              <w:jc w:val="right"/>
              <w:rPr>
                <w:color w:val="000000"/>
                <w:sz w:val="18"/>
                <w:szCs w:val="18"/>
                <w:lang w:eastAsia="en-GB"/>
              </w:rPr>
            </w:pPr>
            <w:r w:rsidRPr="00703807">
              <w:rPr>
                <w:color w:val="000000"/>
                <w:sz w:val="18"/>
                <w:szCs w:val="18"/>
                <w:lang w:eastAsia="en-GB"/>
              </w:rPr>
              <w:t>-</w:t>
            </w:r>
          </w:p>
        </w:tc>
      </w:tr>
      <w:tr w:rsidR="00AF4170" w:rsidRPr="00EC690A" w14:paraId="2BE6DE25" w14:textId="77777777" w:rsidTr="006549C6">
        <w:trPr>
          <w:trHeight w:val="300"/>
        </w:trPr>
        <w:tc>
          <w:tcPr>
            <w:tcW w:w="3340" w:type="pct"/>
            <w:tcBorders>
              <w:top w:val="nil"/>
              <w:left w:val="nil"/>
              <w:bottom w:val="nil"/>
              <w:right w:val="nil"/>
            </w:tcBorders>
            <w:shd w:val="clear" w:color="auto" w:fill="auto"/>
            <w:noWrap/>
            <w:vAlign w:val="bottom"/>
          </w:tcPr>
          <w:p w14:paraId="39AD05B7" w14:textId="713DD735" w:rsidR="00AF4170" w:rsidRDefault="00AF4170" w:rsidP="00F84194">
            <w:pPr>
              <w:rPr>
                <w:color w:val="000000"/>
                <w:sz w:val="18"/>
                <w:szCs w:val="18"/>
              </w:rPr>
            </w:pPr>
            <w:r w:rsidRPr="00EC690A">
              <w:rPr>
                <w:color w:val="000000"/>
                <w:sz w:val="18"/>
                <w:szCs w:val="18"/>
              </w:rPr>
              <w:t>Vehicle expenses</w:t>
            </w:r>
          </w:p>
        </w:tc>
        <w:tc>
          <w:tcPr>
            <w:tcW w:w="774" w:type="pct"/>
            <w:tcBorders>
              <w:top w:val="nil"/>
              <w:left w:val="nil"/>
              <w:bottom w:val="nil"/>
              <w:right w:val="nil"/>
            </w:tcBorders>
            <w:shd w:val="clear" w:color="auto" w:fill="auto"/>
            <w:noWrap/>
            <w:vAlign w:val="bottom"/>
          </w:tcPr>
          <w:p w14:paraId="3DC10DCE" w14:textId="499FCBF4" w:rsidR="00AF4170" w:rsidRPr="00703807" w:rsidRDefault="00AF4170" w:rsidP="00F84194">
            <w:pPr>
              <w:jc w:val="right"/>
              <w:rPr>
                <w:b/>
                <w:bCs/>
                <w:color w:val="000000"/>
                <w:sz w:val="18"/>
                <w:szCs w:val="18"/>
                <w:lang w:eastAsia="en-GB"/>
              </w:rPr>
            </w:pPr>
            <w:r w:rsidRPr="00703807">
              <w:rPr>
                <w:b/>
                <w:bCs/>
                <w:color w:val="000000"/>
                <w:sz w:val="18"/>
                <w:szCs w:val="18"/>
                <w:lang w:eastAsia="en-GB"/>
              </w:rPr>
              <w:t>62,007</w:t>
            </w:r>
          </w:p>
        </w:tc>
        <w:tc>
          <w:tcPr>
            <w:tcW w:w="886" w:type="pct"/>
            <w:tcBorders>
              <w:top w:val="nil"/>
              <w:left w:val="nil"/>
              <w:bottom w:val="nil"/>
              <w:right w:val="nil"/>
            </w:tcBorders>
            <w:shd w:val="clear" w:color="auto" w:fill="auto"/>
            <w:noWrap/>
            <w:vAlign w:val="bottom"/>
          </w:tcPr>
          <w:p w14:paraId="323B66E3" w14:textId="31C0AF69" w:rsidR="00AF4170" w:rsidRPr="00703807" w:rsidRDefault="00AF4170" w:rsidP="00F84194">
            <w:pPr>
              <w:jc w:val="right"/>
              <w:rPr>
                <w:color w:val="000000"/>
                <w:sz w:val="18"/>
                <w:szCs w:val="18"/>
                <w:lang w:eastAsia="en-GB"/>
              </w:rPr>
            </w:pPr>
            <w:r w:rsidRPr="00703807">
              <w:rPr>
                <w:color w:val="000000"/>
                <w:sz w:val="18"/>
                <w:szCs w:val="18"/>
                <w:lang w:eastAsia="en-GB"/>
              </w:rPr>
              <w:t>49,100</w:t>
            </w:r>
          </w:p>
        </w:tc>
      </w:tr>
      <w:tr w:rsidR="00AF4170" w:rsidRPr="00EC690A" w14:paraId="2A0CABF7" w14:textId="77777777" w:rsidTr="006549C6">
        <w:trPr>
          <w:trHeight w:val="300"/>
        </w:trPr>
        <w:tc>
          <w:tcPr>
            <w:tcW w:w="3340" w:type="pct"/>
            <w:tcBorders>
              <w:top w:val="nil"/>
              <w:left w:val="nil"/>
              <w:bottom w:val="nil"/>
              <w:right w:val="nil"/>
            </w:tcBorders>
            <w:shd w:val="clear" w:color="auto" w:fill="auto"/>
            <w:noWrap/>
            <w:vAlign w:val="bottom"/>
          </w:tcPr>
          <w:p w14:paraId="681BC8EE" w14:textId="2E593168" w:rsidR="00AF4170" w:rsidRDefault="00AF4170" w:rsidP="00F84194">
            <w:pPr>
              <w:rPr>
                <w:color w:val="000000"/>
                <w:sz w:val="18"/>
                <w:szCs w:val="18"/>
              </w:rPr>
            </w:pPr>
            <w:r w:rsidRPr="00EC690A">
              <w:rPr>
                <w:color w:val="000000"/>
                <w:sz w:val="18"/>
                <w:szCs w:val="18"/>
              </w:rPr>
              <w:t>Professional services</w:t>
            </w:r>
          </w:p>
        </w:tc>
        <w:tc>
          <w:tcPr>
            <w:tcW w:w="774" w:type="pct"/>
            <w:tcBorders>
              <w:top w:val="nil"/>
              <w:left w:val="nil"/>
              <w:bottom w:val="nil"/>
              <w:right w:val="nil"/>
            </w:tcBorders>
            <w:shd w:val="clear" w:color="auto" w:fill="auto"/>
            <w:noWrap/>
            <w:vAlign w:val="bottom"/>
          </w:tcPr>
          <w:p w14:paraId="0CF838E4" w14:textId="1848AA87" w:rsidR="00AF4170" w:rsidRPr="00703807" w:rsidRDefault="00AF4170" w:rsidP="00F84194">
            <w:pPr>
              <w:jc w:val="right"/>
              <w:rPr>
                <w:b/>
                <w:bCs/>
                <w:color w:val="000000"/>
                <w:sz w:val="18"/>
                <w:szCs w:val="18"/>
                <w:lang w:eastAsia="en-GB"/>
              </w:rPr>
            </w:pPr>
            <w:r w:rsidRPr="00703807">
              <w:rPr>
                <w:b/>
                <w:bCs/>
                <w:color w:val="000000"/>
                <w:sz w:val="18"/>
                <w:szCs w:val="18"/>
                <w:lang w:eastAsia="en-GB"/>
              </w:rPr>
              <w:t>61,051</w:t>
            </w:r>
          </w:p>
        </w:tc>
        <w:tc>
          <w:tcPr>
            <w:tcW w:w="886" w:type="pct"/>
            <w:tcBorders>
              <w:top w:val="nil"/>
              <w:left w:val="nil"/>
              <w:bottom w:val="nil"/>
              <w:right w:val="nil"/>
            </w:tcBorders>
            <w:shd w:val="clear" w:color="auto" w:fill="auto"/>
            <w:noWrap/>
            <w:vAlign w:val="bottom"/>
          </w:tcPr>
          <w:p w14:paraId="29AB41EB" w14:textId="4C5F7FB4" w:rsidR="00AF4170" w:rsidRPr="00703807" w:rsidRDefault="00AF4170" w:rsidP="00F84194">
            <w:pPr>
              <w:jc w:val="right"/>
              <w:rPr>
                <w:color w:val="000000"/>
                <w:sz w:val="18"/>
                <w:szCs w:val="18"/>
                <w:lang w:eastAsia="en-GB"/>
              </w:rPr>
            </w:pPr>
            <w:r w:rsidRPr="00703807">
              <w:rPr>
                <w:color w:val="000000"/>
                <w:sz w:val="18"/>
                <w:szCs w:val="18"/>
                <w:lang w:eastAsia="en-GB"/>
              </w:rPr>
              <w:t>80,016</w:t>
            </w:r>
          </w:p>
        </w:tc>
      </w:tr>
      <w:tr w:rsidR="00AF4170" w:rsidRPr="00EC690A" w14:paraId="2989B452" w14:textId="77777777" w:rsidTr="006549C6">
        <w:trPr>
          <w:trHeight w:val="300"/>
        </w:trPr>
        <w:tc>
          <w:tcPr>
            <w:tcW w:w="3340" w:type="pct"/>
            <w:tcBorders>
              <w:top w:val="nil"/>
              <w:left w:val="nil"/>
              <w:bottom w:val="nil"/>
              <w:right w:val="nil"/>
            </w:tcBorders>
            <w:shd w:val="clear" w:color="auto" w:fill="auto"/>
            <w:noWrap/>
            <w:vAlign w:val="bottom"/>
          </w:tcPr>
          <w:p w14:paraId="1FB10703" w14:textId="73D3369C" w:rsidR="00AF4170" w:rsidRPr="00EC690A" w:rsidRDefault="00AF4170" w:rsidP="00F84194">
            <w:pPr>
              <w:rPr>
                <w:color w:val="000000"/>
                <w:sz w:val="18"/>
                <w:szCs w:val="18"/>
              </w:rPr>
            </w:pPr>
            <w:r w:rsidRPr="00EC690A">
              <w:rPr>
                <w:color w:val="000000"/>
                <w:sz w:val="18"/>
                <w:szCs w:val="18"/>
              </w:rPr>
              <w:t>Communication expenses</w:t>
            </w:r>
          </w:p>
        </w:tc>
        <w:tc>
          <w:tcPr>
            <w:tcW w:w="774" w:type="pct"/>
            <w:tcBorders>
              <w:top w:val="nil"/>
              <w:left w:val="nil"/>
              <w:bottom w:val="nil"/>
              <w:right w:val="nil"/>
            </w:tcBorders>
            <w:shd w:val="clear" w:color="auto" w:fill="auto"/>
            <w:noWrap/>
            <w:vAlign w:val="bottom"/>
          </w:tcPr>
          <w:p w14:paraId="6566D41B" w14:textId="2B9BFB0A" w:rsidR="00AF4170" w:rsidRPr="00703807" w:rsidRDefault="00AF4170" w:rsidP="00F84194">
            <w:pPr>
              <w:jc w:val="right"/>
              <w:rPr>
                <w:b/>
                <w:bCs/>
                <w:color w:val="000000"/>
                <w:sz w:val="18"/>
                <w:szCs w:val="18"/>
                <w:lang w:eastAsia="en-GB"/>
              </w:rPr>
            </w:pPr>
            <w:r w:rsidRPr="00703807">
              <w:rPr>
                <w:b/>
                <w:bCs/>
                <w:color w:val="000000"/>
                <w:sz w:val="18"/>
                <w:szCs w:val="18"/>
                <w:lang w:eastAsia="en-GB"/>
              </w:rPr>
              <w:t>27,713</w:t>
            </w:r>
          </w:p>
        </w:tc>
        <w:tc>
          <w:tcPr>
            <w:tcW w:w="886" w:type="pct"/>
            <w:tcBorders>
              <w:top w:val="nil"/>
              <w:left w:val="nil"/>
              <w:bottom w:val="nil"/>
              <w:right w:val="nil"/>
            </w:tcBorders>
            <w:shd w:val="clear" w:color="auto" w:fill="auto"/>
            <w:noWrap/>
            <w:vAlign w:val="bottom"/>
          </w:tcPr>
          <w:p w14:paraId="34E3FDBB" w14:textId="6853B577" w:rsidR="00AF4170" w:rsidRPr="00703807" w:rsidRDefault="00AF4170" w:rsidP="00F84194">
            <w:pPr>
              <w:jc w:val="right"/>
              <w:rPr>
                <w:color w:val="000000"/>
                <w:sz w:val="18"/>
                <w:szCs w:val="18"/>
                <w:lang w:eastAsia="en-GB"/>
              </w:rPr>
            </w:pPr>
            <w:r w:rsidRPr="00703807">
              <w:rPr>
                <w:color w:val="000000"/>
                <w:sz w:val="18"/>
                <w:szCs w:val="18"/>
                <w:lang w:eastAsia="en-GB"/>
              </w:rPr>
              <w:t>18,976</w:t>
            </w:r>
          </w:p>
        </w:tc>
      </w:tr>
      <w:tr w:rsidR="00F84194" w:rsidRPr="00EC690A" w14:paraId="6311CD39" w14:textId="77777777" w:rsidTr="006549C6">
        <w:trPr>
          <w:trHeight w:val="300"/>
        </w:trPr>
        <w:tc>
          <w:tcPr>
            <w:tcW w:w="3340" w:type="pct"/>
            <w:tcBorders>
              <w:top w:val="nil"/>
              <w:left w:val="nil"/>
              <w:bottom w:val="nil"/>
              <w:right w:val="nil"/>
            </w:tcBorders>
            <w:shd w:val="clear" w:color="auto" w:fill="auto"/>
            <w:noWrap/>
            <w:vAlign w:val="bottom"/>
          </w:tcPr>
          <w:p w14:paraId="73808C5A" w14:textId="0307FC50" w:rsidR="00F84194" w:rsidRPr="00EC690A" w:rsidRDefault="00F84194" w:rsidP="00F84194">
            <w:pPr>
              <w:rPr>
                <w:color w:val="000000"/>
                <w:sz w:val="18"/>
                <w:szCs w:val="18"/>
              </w:rPr>
            </w:pPr>
            <w:r w:rsidRPr="00EC690A">
              <w:rPr>
                <w:color w:val="000000"/>
                <w:sz w:val="18"/>
                <w:szCs w:val="18"/>
              </w:rPr>
              <w:t>Advertising expenses</w:t>
            </w:r>
          </w:p>
        </w:tc>
        <w:tc>
          <w:tcPr>
            <w:tcW w:w="774" w:type="pct"/>
            <w:tcBorders>
              <w:top w:val="nil"/>
              <w:left w:val="nil"/>
              <w:bottom w:val="nil"/>
              <w:right w:val="nil"/>
            </w:tcBorders>
            <w:shd w:val="clear" w:color="auto" w:fill="auto"/>
            <w:noWrap/>
            <w:vAlign w:val="bottom"/>
          </w:tcPr>
          <w:p w14:paraId="259541AC" w14:textId="034F6765" w:rsidR="00F84194" w:rsidRPr="00703807" w:rsidRDefault="00AF4170" w:rsidP="00F84194">
            <w:pPr>
              <w:jc w:val="right"/>
              <w:rPr>
                <w:b/>
                <w:bCs/>
                <w:color w:val="000000"/>
                <w:sz w:val="18"/>
                <w:szCs w:val="18"/>
              </w:rPr>
            </w:pPr>
            <w:r w:rsidRPr="00703807">
              <w:rPr>
                <w:b/>
                <w:bCs/>
                <w:color w:val="000000"/>
                <w:sz w:val="18"/>
                <w:szCs w:val="18"/>
              </w:rPr>
              <w:t>23,517</w:t>
            </w:r>
          </w:p>
        </w:tc>
        <w:tc>
          <w:tcPr>
            <w:tcW w:w="886" w:type="pct"/>
            <w:tcBorders>
              <w:top w:val="nil"/>
              <w:left w:val="nil"/>
              <w:bottom w:val="nil"/>
              <w:right w:val="nil"/>
            </w:tcBorders>
            <w:shd w:val="clear" w:color="auto" w:fill="auto"/>
            <w:noWrap/>
            <w:vAlign w:val="bottom"/>
          </w:tcPr>
          <w:p w14:paraId="6A052964" w14:textId="2E113BF7" w:rsidR="00F84194" w:rsidRPr="00703807" w:rsidRDefault="00F84194" w:rsidP="00F84194">
            <w:pPr>
              <w:jc w:val="right"/>
              <w:rPr>
                <w:color w:val="000000"/>
                <w:sz w:val="18"/>
                <w:szCs w:val="18"/>
              </w:rPr>
            </w:pPr>
            <w:r w:rsidRPr="00703807">
              <w:rPr>
                <w:color w:val="000000"/>
                <w:sz w:val="18"/>
                <w:szCs w:val="18"/>
              </w:rPr>
              <w:t>18,448</w:t>
            </w:r>
          </w:p>
        </w:tc>
      </w:tr>
      <w:tr w:rsidR="00AF4170" w:rsidRPr="00EC690A" w14:paraId="2764B9ED" w14:textId="77777777" w:rsidTr="006549C6">
        <w:trPr>
          <w:trHeight w:val="300"/>
        </w:trPr>
        <w:tc>
          <w:tcPr>
            <w:tcW w:w="3340" w:type="pct"/>
            <w:tcBorders>
              <w:top w:val="nil"/>
              <w:left w:val="nil"/>
              <w:bottom w:val="nil"/>
              <w:right w:val="nil"/>
            </w:tcBorders>
            <w:shd w:val="clear" w:color="auto" w:fill="auto"/>
            <w:noWrap/>
            <w:vAlign w:val="bottom"/>
          </w:tcPr>
          <w:p w14:paraId="67592049" w14:textId="755B385A" w:rsidR="00AF4170" w:rsidRPr="00EC690A" w:rsidRDefault="00AF4170" w:rsidP="00F84194">
            <w:pPr>
              <w:rPr>
                <w:color w:val="000000"/>
                <w:sz w:val="18"/>
                <w:szCs w:val="18"/>
              </w:rPr>
            </w:pPr>
            <w:r w:rsidRPr="00EC690A">
              <w:rPr>
                <w:color w:val="000000"/>
                <w:sz w:val="18"/>
                <w:szCs w:val="18"/>
              </w:rPr>
              <w:t>Printing and office supplies</w:t>
            </w:r>
          </w:p>
        </w:tc>
        <w:tc>
          <w:tcPr>
            <w:tcW w:w="774" w:type="pct"/>
            <w:tcBorders>
              <w:top w:val="nil"/>
              <w:left w:val="nil"/>
              <w:bottom w:val="nil"/>
              <w:right w:val="nil"/>
            </w:tcBorders>
            <w:shd w:val="clear" w:color="auto" w:fill="auto"/>
            <w:noWrap/>
            <w:vAlign w:val="bottom"/>
          </w:tcPr>
          <w:p w14:paraId="613870A7" w14:textId="2016797C" w:rsidR="00AF4170" w:rsidRPr="00703807" w:rsidRDefault="00AF4170" w:rsidP="00F84194">
            <w:pPr>
              <w:jc w:val="right"/>
              <w:rPr>
                <w:b/>
                <w:bCs/>
                <w:color w:val="000000"/>
                <w:sz w:val="18"/>
                <w:szCs w:val="18"/>
              </w:rPr>
            </w:pPr>
            <w:r w:rsidRPr="00703807">
              <w:rPr>
                <w:b/>
                <w:bCs/>
                <w:color w:val="000000"/>
                <w:sz w:val="18"/>
                <w:szCs w:val="18"/>
              </w:rPr>
              <w:t>18,305</w:t>
            </w:r>
          </w:p>
        </w:tc>
        <w:tc>
          <w:tcPr>
            <w:tcW w:w="886" w:type="pct"/>
            <w:tcBorders>
              <w:top w:val="nil"/>
              <w:left w:val="nil"/>
              <w:bottom w:val="nil"/>
              <w:right w:val="nil"/>
            </w:tcBorders>
            <w:shd w:val="clear" w:color="auto" w:fill="auto"/>
            <w:noWrap/>
            <w:vAlign w:val="bottom"/>
          </w:tcPr>
          <w:p w14:paraId="4D46923B" w14:textId="2C89EDDC" w:rsidR="00AF4170" w:rsidRPr="00703807" w:rsidRDefault="00AF4170" w:rsidP="00F84194">
            <w:pPr>
              <w:jc w:val="right"/>
              <w:rPr>
                <w:color w:val="000000"/>
                <w:sz w:val="18"/>
                <w:szCs w:val="18"/>
              </w:rPr>
            </w:pPr>
            <w:r w:rsidRPr="00703807">
              <w:rPr>
                <w:color w:val="000000"/>
                <w:sz w:val="18"/>
                <w:szCs w:val="18"/>
              </w:rPr>
              <w:t>16,396</w:t>
            </w:r>
          </w:p>
        </w:tc>
      </w:tr>
      <w:tr w:rsidR="00AF4170" w:rsidRPr="00EC690A" w14:paraId="5305CE8D" w14:textId="77777777" w:rsidTr="006549C6">
        <w:trPr>
          <w:trHeight w:val="300"/>
        </w:trPr>
        <w:tc>
          <w:tcPr>
            <w:tcW w:w="3340" w:type="pct"/>
            <w:tcBorders>
              <w:top w:val="nil"/>
              <w:left w:val="nil"/>
              <w:bottom w:val="nil"/>
              <w:right w:val="nil"/>
            </w:tcBorders>
            <w:shd w:val="clear" w:color="auto" w:fill="auto"/>
            <w:noWrap/>
            <w:vAlign w:val="bottom"/>
          </w:tcPr>
          <w:p w14:paraId="6F126566" w14:textId="3B023193" w:rsidR="00AF4170" w:rsidRPr="00EC690A" w:rsidRDefault="00AF4170" w:rsidP="00F84194">
            <w:pPr>
              <w:rPr>
                <w:color w:val="000000"/>
                <w:sz w:val="18"/>
                <w:szCs w:val="18"/>
              </w:rPr>
            </w:pPr>
            <w:r w:rsidRPr="00AF4170">
              <w:rPr>
                <w:color w:val="000000"/>
                <w:sz w:val="18"/>
                <w:szCs w:val="18"/>
              </w:rPr>
              <w:t>Regress Expenses</w:t>
            </w:r>
          </w:p>
        </w:tc>
        <w:tc>
          <w:tcPr>
            <w:tcW w:w="774" w:type="pct"/>
            <w:tcBorders>
              <w:top w:val="nil"/>
              <w:left w:val="nil"/>
              <w:bottom w:val="nil"/>
              <w:right w:val="nil"/>
            </w:tcBorders>
            <w:shd w:val="clear" w:color="auto" w:fill="auto"/>
            <w:noWrap/>
            <w:vAlign w:val="bottom"/>
          </w:tcPr>
          <w:p w14:paraId="2FC8DD7C" w14:textId="394DA5B0" w:rsidR="00AF4170" w:rsidRPr="00703807" w:rsidRDefault="00AF4170" w:rsidP="00F84194">
            <w:pPr>
              <w:jc w:val="right"/>
              <w:rPr>
                <w:b/>
                <w:bCs/>
                <w:color w:val="000000"/>
                <w:sz w:val="18"/>
                <w:szCs w:val="18"/>
              </w:rPr>
            </w:pPr>
            <w:r w:rsidRPr="00703807">
              <w:rPr>
                <w:b/>
                <w:bCs/>
                <w:color w:val="000000"/>
                <w:sz w:val="18"/>
                <w:szCs w:val="18"/>
              </w:rPr>
              <w:t>1,237</w:t>
            </w:r>
          </w:p>
        </w:tc>
        <w:tc>
          <w:tcPr>
            <w:tcW w:w="886" w:type="pct"/>
            <w:tcBorders>
              <w:top w:val="nil"/>
              <w:left w:val="nil"/>
              <w:bottom w:val="nil"/>
              <w:right w:val="nil"/>
            </w:tcBorders>
            <w:shd w:val="clear" w:color="auto" w:fill="auto"/>
            <w:noWrap/>
            <w:vAlign w:val="bottom"/>
          </w:tcPr>
          <w:p w14:paraId="47E5B962" w14:textId="3B91726F" w:rsidR="00AF4170" w:rsidRPr="00703807" w:rsidRDefault="00AF4170" w:rsidP="00F84194">
            <w:pPr>
              <w:jc w:val="right"/>
              <w:rPr>
                <w:color w:val="000000"/>
                <w:sz w:val="18"/>
                <w:szCs w:val="18"/>
              </w:rPr>
            </w:pPr>
            <w:r w:rsidRPr="00703807">
              <w:rPr>
                <w:color w:val="000000"/>
                <w:sz w:val="18"/>
                <w:szCs w:val="18"/>
              </w:rPr>
              <w:t>5,364</w:t>
            </w:r>
          </w:p>
        </w:tc>
      </w:tr>
      <w:tr w:rsidR="00AF4170" w:rsidRPr="00EC690A" w14:paraId="57C88265" w14:textId="77777777" w:rsidTr="006549C6">
        <w:trPr>
          <w:trHeight w:val="300"/>
        </w:trPr>
        <w:tc>
          <w:tcPr>
            <w:tcW w:w="3340" w:type="pct"/>
            <w:tcBorders>
              <w:top w:val="nil"/>
              <w:left w:val="nil"/>
              <w:bottom w:val="nil"/>
              <w:right w:val="nil"/>
            </w:tcBorders>
            <w:shd w:val="clear" w:color="auto" w:fill="auto"/>
            <w:noWrap/>
            <w:vAlign w:val="bottom"/>
          </w:tcPr>
          <w:p w14:paraId="134E307C" w14:textId="3EB10EEE" w:rsidR="00AF4170" w:rsidRPr="00EC690A" w:rsidRDefault="00AF4170" w:rsidP="00F84194">
            <w:pPr>
              <w:rPr>
                <w:color w:val="000000"/>
                <w:sz w:val="18"/>
                <w:szCs w:val="18"/>
              </w:rPr>
            </w:pPr>
            <w:r w:rsidRPr="00EC690A">
              <w:rPr>
                <w:color w:val="000000"/>
                <w:sz w:val="18"/>
                <w:szCs w:val="18"/>
              </w:rPr>
              <w:t>Business trips</w:t>
            </w:r>
          </w:p>
        </w:tc>
        <w:tc>
          <w:tcPr>
            <w:tcW w:w="774" w:type="pct"/>
            <w:tcBorders>
              <w:top w:val="nil"/>
              <w:left w:val="nil"/>
              <w:bottom w:val="nil"/>
              <w:right w:val="nil"/>
            </w:tcBorders>
            <w:shd w:val="clear" w:color="auto" w:fill="auto"/>
            <w:noWrap/>
            <w:vAlign w:val="bottom"/>
          </w:tcPr>
          <w:p w14:paraId="39A6D3B9" w14:textId="36856785" w:rsidR="00AF4170" w:rsidRPr="00703807" w:rsidRDefault="00AF4170" w:rsidP="00F84194">
            <w:pPr>
              <w:jc w:val="right"/>
              <w:rPr>
                <w:b/>
                <w:bCs/>
                <w:color w:val="000000"/>
                <w:sz w:val="18"/>
                <w:szCs w:val="18"/>
              </w:rPr>
            </w:pPr>
            <w:r w:rsidRPr="00703807">
              <w:rPr>
                <w:b/>
                <w:bCs/>
                <w:color w:val="000000"/>
                <w:sz w:val="18"/>
                <w:szCs w:val="18"/>
              </w:rPr>
              <w:t>23</w:t>
            </w:r>
          </w:p>
        </w:tc>
        <w:tc>
          <w:tcPr>
            <w:tcW w:w="886" w:type="pct"/>
            <w:tcBorders>
              <w:top w:val="nil"/>
              <w:left w:val="nil"/>
              <w:bottom w:val="nil"/>
              <w:right w:val="nil"/>
            </w:tcBorders>
            <w:shd w:val="clear" w:color="auto" w:fill="auto"/>
            <w:noWrap/>
            <w:vAlign w:val="bottom"/>
          </w:tcPr>
          <w:p w14:paraId="50152F68" w14:textId="184AE06A" w:rsidR="00AF4170" w:rsidRPr="00703807" w:rsidRDefault="00AF4170" w:rsidP="00F84194">
            <w:pPr>
              <w:jc w:val="right"/>
              <w:rPr>
                <w:color w:val="000000"/>
                <w:sz w:val="18"/>
                <w:szCs w:val="18"/>
              </w:rPr>
            </w:pPr>
            <w:r w:rsidRPr="00703807">
              <w:rPr>
                <w:color w:val="000000"/>
                <w:sz w:val="18"/>
                <w:szCs w:val="18"/>
              </w:rPr>
              <w:t>9,892</w:t>
            </w:r>
          </w:p>
        </w:tc>
      </w:tr>
      <w:tr w:rsidR="00F84194" w:rsidRPr="00EC690A" w14:paraId="2A421E9E" w14:textId="77777777" w:rsidTr="006549C6">
        <w:trPr>
          <w:trHeight w:val="300"/>
        </w:trPr>
        <w:tc>
          <w:tcPr>
            <w:tcW w:w="3340" w:type="pct"/>
            <w:tcBorders>
              <w:top w:val="nil"/>
              <w:left w:val="nil"/>
              <w:bottom w:val="nil"/>
              <w:right w:val="nil"/>
            </w:tcBorders>
            <w:shd w:val="clear" w:color="auto" w:fill="auto"/>
            <w:noWrap/>
            <w:vAlign w:val="bottom"/>
            <w:hideMark/>
          </w:tcPr>
          <w:p w14:paraId="217F4FF2" w14:textId="77777777" w:rsidR="00F84194" w:rsidRPr="00EC690A" w:rsidRDefault="00F84194" w:rsidP="00F84194">
            <w:pPr>
              <w:rPr>
                <w:color w:val="000000"/>
                <w:sz w:val="18"/>
                <w:szCs w:val="18"/>
                <w:lang w:eastAsia="en-GB"/>
              </w:rPr>
            </w:pPr>
            <w:r w:rsidRPr="00EC690A">
              <w:rPr>
                <w:color w:val="000000"/>
                <w:sz w:val="18"/>
                <w:szCs w:val="18"/>
              </w:rPr>
              <w:t>Rent expense</w:t>
            </w:r>
          </w:p>
        </w:tc>
        <w:tc>
          <w:tcPr>
            <w:tcW w:w="774" w:type="pct"/>
            <w:tcBorders>
              <w:top w:val="nil"/>
              <w:left w:val="nil"/>
              <w:bottom w:val="nil"/>
              <w:right w:val="nil"/>
            </w:tcBorders>
            <w:shd w:val="clear" w:color="auto" w:fill="auto"/>
            <w:noWrap/>
            <w:vAlign w:val="bottom"/>
          </w:tcPr>
          <w:p w14:paraId="7F5587C7" w14:textId="4276D807" w:rsidR="00F84194" w:rsidRPr="00703807" w:rsidRDefault="00AF4170" w:rsidP="00F84194">
            <w:pPr>
              <w:jc w:val="right"/>
              <w:rPr>
                <w:b/>
                <w:bCs/>
                <w:color w:val="000000"/>
                <w:sz w:val="18"/>
                <w:szCs w:val="18"/>
                <w:lang w:eastAsia="en-GB"/>
              </w:rPr>
            </w:pPr>
            <w:r w:rsidRPr="00703807">
              <w:rPr>
                <w:b/>
                <w:bCs/>
                <w:color w:val="000000"/>
                <w:sz w:val="18"/>
                <w:szCs w:val="18"/>
                <w:lang w:eastAsia="en-GB"/>
              </w:rPr>
              <w:t>-</w:t>
            </w:r>
          </w:p>
        </w:tc>
        <w:tc>
          <w:tcPr>
            <w:tcW w:w="886" w:type="pct"/>
            <w:tcBorders>
              <w:top w:val="nil"/>
              <w:left w:val="nil"/>
              <w:bottom w:val="nil"/>
              <w:right w:val="nil"/>
            </w:tcBorders>
            <w:shd w:val="clear" w:color="auto" w:fill="auto"/>
            <w:noWrap/>
            <w:vAlign w:val="bottom"/>
          </w:tcPr>
          <w:p w14:paraId="0F46CD64" w14:textId="6DCD56B3" w:rsidR="00F84194" w:rsidRPr="00703807" w:rsidRDefault="00F84194" w:rsidP="00F84194">
            <w:pPr>
              <w:jc w:val="right"/>
              <w:rPr>
                <w:color w:val="000000"/>
                <w:sz w:val="18"/>
                <w:szCs w:val="18"/>
                <w:lang w:eastAsia="en-GB"/>
              </w:rPr>
            </w:pPr>
            <w:r w:rsidRPr="00703807">
              <w:rPr>
                <w:color w:val="000000"/>
                <w:sz w:val="18"/>
                <w:szCs w:val="18"/>
                <w:lang w:eastAsia="en-GB"/>
              </w:rPr>
              <w:t>114,000</w:t>
            </w:r>
          </w:p>
        </w:tc>
      </w:tr>
      <w:tr w:rsidR="00F84194" w:rsidRPr="00EC690A" w14:paraId="4959EA94" w14:textId="77777777" w:rsidTr="006549C6">
        <w:trPr>
          <w:trHeight w:val="300"/>
        </w:trPr>
        <w:tc>
          <w:tcPr>
            <w:tcW w:w="3340" w:type="pct"/>
            <w:tcBorders>
              <w:top w:val="nil"/>
              <w:left w:val="nil"/>
              <w:bottom w:val="nil"/>
              <w:right w:val="nil"/>
            </w:tcBorders>
            <w:shd w:val="clear" w:color="auto" w:fill="auto"/>
            <w:noWrap/>
            <w:vAlign w:val="bottom"/>
            <w:hideMark/>
          </w:tcPr>
          <w:p w14:paraId="38D88EC8" w14:textId="77777777" w:rsidR="00F84194" w:rsidRPr="00EC690A" w:rsidRDefault="00F84194" w:rsidP="00F84194">
            <w:pPr>
              <w:rPr>
                <w:color w:val="000000"/>
                <w:sz w:val="18"/>
                <w:szCs w:val="18"/>
                <w:lang w:eastAsia="en-GB"/>
              </w:rPr>
            </w:pPr>
            <w:r w:rsidRPr="00EC690A">
              <w:rPr>
                <w:color w:val="000000"/>
                <w:sz w:val="18"/>
                <w:szCs w:val="18"/>
              </w:rPr>
              <w:t>Other operating expenses</w:t>
            </w:r>
          </w:p>
        </w:tc>
        <w:tc>
          <w:tcPr>
            <w:tcW w:w="774" w:type="pct"/>
            <w:tcBorders>
              <w:top w:val="nil"/>
              <w:left w:val="nil"/>
              <w:bottom w:val="nil"/>
              <w:right w:val="nil"/>
            </w:tcBorders>
            <w:shd w:val="clear" w:color="auto" w:fill="auto"/>
            <w:noWrap/>
            <w:vAlign w:val="bottom"/>
          </w:tcPr>
          <w:p w14:paraId="46DD82A8" w14:textId="044624DE" w:rsidR="00F84194" w:rsidRPr="00703807" w:rsidRDefault="00500031" w:rsidP="00F84194">
            <w:pPr>
              <w:jc w:val="right"/>
              <w:rPr>
                <w:b/>
                <w:bCs/>
                <w:color w:val="000000"/>
                <w:sz w:val="18"/>
                <w:szCs w:val="18"/>
                <w:lang w:eastAsia="en-GB"/>
              </w:rPr>
            </w:pPr>
            <w:r w:rsidRPr="00703807">
              <w:rPr>
                <w:b/>
                <w:bCs/>
                <w:color w:val="000000"/>
                <w:sz w:val="18"/>
                <w:szCs w:val="18"/>
                <w:lang w:eastAsia="en-GB"/>
              </w:rPr>
              <w:t>182,973</w:t>
            </w:r>
          </w:p>
        </w:tc>
        <w:tc>
          <w:tcPr>
            <w:tcW w:w="886" w:type="pct"/>
            <w:tcBorders>
              <w:top w:val="nil"/>
              <w:left w:val="nil"/>
              <w:bottom w:val="nil"/>
              <w:right w:val="nil"/>
            </w:tcBorders>
            <w:shd w:val="clear" w:color="auto" w:fill="auto"/>
            <w:noWrap/>
            <w:vAlign w:val="bottom"/>
          </w:tcPr>
          <w:p w14:paraId="3AEA4B5C" w14:textId="4EF3F24D" w:rsidR="00F84194" w:rsidRPr="00703807" w:rsidRDefault="00F84194" w:rsidP="00F84194">
            <w:pPr>
              <w:jc w:val="right"/>
              <w:rPr>
                <w:color w:val="000000"/>
                <w:sz w:val="18"/>
                <w:szCs w:val="18"/>
                <w:lang w:eastAsia="en-GB"/>
              </w:rPr>
            </w:pPr>
            <w:r w:rsidRPr="00703807">
              <w:rPr>
                <w:color w:val="000000"/>
                <w:sz w:val="18"/>
                <w:szCs w:val="18"/>
                <w:lang w:eastAsia="en-GB"/>
              </w:rPr>
              <w:t>192,366</w:t>
            </w:r>
          </w:p>
        </w:tc>
      </w:tr>
      <w:tr w:rsidR="00F84194" w:rsidRPr="00EC690A" w14:paraId="789CA3A5" w14:textId="77777777" w:rsidTr="006549C6">
        <w:trPr>
          <w:trHeight w:val="315"/>
        </w:trPr>
        <w:tc>
          <w:tcPr>
            <w:tcW w:w="3340" w:type="pct"/>
            <w:tcBorders>
              <w:top w:val="single" w:sz="4" w:space="0" w:color="auto"/>
              <w:left w:val="nil"/>
              <w:bottom w:val="double" w:sz="6" w:space="0" w:color="auto"/>
              <w:right w:val="nil"/>
            </w:tcBorders>
            <w:shd w:val="clear" w:color="auto" w:fill="auto"/>
            <w:noWrap/>
            <w:vAlign w:val="bottom"/>
            <w:hideMark/>
          </w:tcPr>
          <w:p w14:paraId="198907A9" w14:textId="77777777" w:rsidR="00F84194" w:rsidRPr="00EC690A" w:rsidRDefault="00F84194" w:rsidP="00F84194">
            <w:pPr>
              <w:rPr>
                <w:b/>
                <w:bCs/>
                <w:color w:val="000000"/>
                <w:sz w:val="18"/>
                <w:szCs w:val="18"/>
                <w:lang w:eastAsia="en-GB"/>
              </w:rPr>
            </w:pPr>
            <w:r w:rsidRPr="00EC690A">
              <w:rPr>
                <w:b/>
                <w:bCs/>
                <w:color w:val="000000"/>
                <w:sz w:val="18"/>
                <w:szCs w:val="18"/>
                <w:lang w:eastAsia="en-GB"/>
              </w:rPr>
              <w:t>Total operating expenses</w:t>
            </w:r>
          </w:p>
        </w:tc>
        <w:tc>
          <w:tcPr>
            <w:tcW w:w="774" w:type="pct"/>
            <w:tcBorders>
              <w:top w:val="single" w:sz="4" w:space="0" w:color="auto"/>
              <w:left w:val="nil"/>
              <w:bottom w:val="double" w:sz="6" w:space="0" w:color="auto"/>
              <w:right w:val="nil"/>
            </w:tcBorders>
            <w:shd w:val="clear" w:color="auto" w:fill="auto"/>
            <w:noWrap/>
            <w:vAlign w:val="bottom"/>
          </w:tcPr>
          <w:p w14:paraId="0D02C56B" w14:textId="7087D143" w:rsidR="00F84194" w:rsidRPr="00703807" w:rsidRDefault="00AF4170" w:rsidP="00F84194">
            <w:pPr>
              <w:jc w:val="right"/>
              <w:rPr>
                <w:b/>
                <w:bCs/>
                <w:color w:val="000000"/>
                <w:sz w:val="18"/>
                <w:szCs w:val="18"/>
                <w:lang w:eastAsia="en-GB"/>
              </w:rPr>
            </w:pPr>
            <w:r w:rsidRPr="00703807">
              <w:rPr>
                <w:b/>
                <w:bCs/>
                <w:color w:val="000000"/>
                <w:sz w:val="18"/>
                <w:szCs w:val="18"/>
                <w:lang w:eastAsia="en-GB"/>
              </w:rPr>
              <w:t>2,135,053</w:t>
            </w:r>
          </w:p>
        </w:tc>
        <w:tc>
          <w:tcPr>
            <w:tcW w:w="886" w:type="pct"/>
            <w:tcBorders>
              <w:top w:val="single" w:sz="4" w:space="0" w:color="auto"/>
              <w:left w:val="nil"/>
              <w:bottom w:val="double" w:sz="6" w:space="0" w:color="auto"/>
              <w:right w:val="nil"/>
            </w:tcBorders>
            <w:shd w:val="clear" w:color="auto" w:fill="auto"/>
            <w:noWrap/>
            <w:vAlign w:val="bottom"/>
          </w:tcPr>
          <w:p w14:paraId="3E5C5E5B" w14:textId="2D05A8DD" w:rsidR="00F84194" w:rsidRPr="00703807" w:rsidRDefault="00F84194" w:rsidP="00F84194">
            <w:pPr>
              <w:jc w:val="right"/>
              <w:rPr>
                <w:color w:val="000000"/>
                <w:sz w:val="18"/>
                <w:szCs w:val="18"/>
                <w:lang w:eastAsia="en-GB"/>
              </w:rPr>
            </w:pPr>
            <w:r w:rsidRPr="00703807">
              <w:rPr>
                <w:color w:val="000000"/>
                <w:sz w:val="18"/>
                <w:szCs w:val="18"/>
                <w:lang w:eastAsia="en-GB"/>
              </w:rPr>
              <w:t>1,858,910</w:t>
            </w:r>
          </w:p>
        </w:tc>
      </w:tr>
    </w:tbl>
    <w:p w14:paraId="0AA4BC25" w14:textId="071CA4F0" w:rsidR="007D3509" w:rsidRDefault="007D3509" w:rsidP="007D3509">
      <w:pPr>
        <w:spacing w:before="120" w:after="120"/>
        <w:rPr>
          <w:b/>
          <w:bCs/>
          <w:sz w:val="18"/>
          <w:szCs w:val="18"/>
        </w:rPr>
      </w:pPr>
    </w:p>
    <w:p w14:paraId="70F04721" w14:textId="62DB3F75" w:rsidR="00FE53E7" w:rsidRDefault="00FE53E7" w:rsidP="00FE53E7">
      <w:pPr>
        <w:pStyle w:val="ListParagraph"/>
        <w:numPr>
          <w:ilvl w:val="0"/>
          <w:numId w:val="1"/>
        </w:numPr>
        <w:spacing w:before="240" w:after="120"/>
        <w:ind w:left="357" w:hanging="357"/>
        <w:contextualSpacing w:val="0"/>
        <w:outlineLvl w:val="0"/>
        <w:rPr>
          <w:b/>
          <w:bCs/>
          <w:sz w:val="18"/>
          <w:szCs w:val="18"/>
        </w:rPr>
      </w:pPr>
      <w:bookmarkStart w:id="67" w:name="_Toc57894911"/>
      <w:r>
        <w:rPr>
          <w:b/>
          <w:bCs/>
          <w:sz w:val="18"/>
          <w:szCs w:val="18"/>
        </w:rPr>
        <w:t>Interest income</w:t>
      </w:r>
      <w:r w:rsidR="00500031">
        <w:rPr>
          <w:b/>
          <w:bCs/>
          <w:sz w:val="18"/>
          <w:szCs w:val="18"/>
        </w:rPr>
        <w:t>, net</w:t>
      </w:r>
      <w:bookmarkEnd w:id="67"/>
    </w:p>
    <w:p w14:paraId="0CC515BA" w14:textId="1705A0B2" w:rsidR="00FE53E7" w:rsidRDefault="00FE53E7" w:rsidP="00FE53E7">
      <w:pPr>
        <w:spacing w:before="120" w:after="120"/>
        <w:jc w:val="both"/>
        <w:rPr>
          <w:sz w:val="18"/>
          <w:szCs w:val="18"/>
        </w:rPr>
      </w:pPr>
      <w:r w:rsidRPr="00FE53E7">
        <w:rPr>
          <w:sz w:val="18"/>
          <w:szCs w:val="18"/>
        </w:rPr>
        <w:t xml:space="preserve">Interest income amounted AZN </w:t>
      </w:r>
      <w:r w:rsidR="00500031">
        <w:rPr>
          <w:sz w:val="18"/>
          <w:szCs w:val="18"/>
        </w:rPr>
        <w:t>260,819</w:t>
      </w:r>
      <w:r w:rsidRPr="00FE53E7">
        <w:rPr>
          <w:sz w:val="18"/>
          <w:szCs w:val="18"/>
        </w:rPr>
        <w:t xml:space="preserve"> and AZN 199,903 in 2019 and 2018 years respectively represents revenue earned from placing idle cash balances in deposits with banks (Note 7) with interest rates from 1.5% to 9% per annum (average 4%). </w:t>
      </w:r>
    </w:p>
    <w:p w14:paraId="6C4A29D1" w14:textId="060ADCF9" w:rsidR="00500031" w:rsidRDefault="00FE53E7" w:rsidP="00FE53E7">
      <w:pPr>
        <w:spacing w:before="120" w:after="120"/>
        <w:jc w:val="both"/>
        <w:rPr>
          <w:sz w:val="18"/>
          <w:szCs w:val="18"/>
        </w:rPr>
      </w:pPr>
      <w:r>
        <w:rPr>
          <w:sz w:val="18"/>
          <w:szCs w:val="18"/>
        </w:rPr>
        <w:t xml:space="preserve">The amount of interest income from a related party, “AG Bank” OJSC, during the year 2019 comprises of </w:t>
      </w:r>
      <w:r w:rsidR="001E22C8">
        <w:rPr>
          <w:sz w:val="18"/>
          <w:szCs w:val="18"/>
        </w:rPr>
        <w:t>nil</w:t>
      </w:r>
      <w:r>
        <w:rPr>
          <w:sz w:val="18"/>
          <w:szCs w:val="18"/>
        </w:rPr>
        <w:t xml:space="preserve"> (2</w:t>
      </w:r>
      <w:r w:rsidR="001E22C8">
        <w:rPr>
          <w:sz w:val="18"/>
          <w:szCs w:val="18"/>
        </w:rPr>
        <w:t>0</w:t>
      </w:r>
      <w:r>
        <w:rPr>
          <w:sz w:val="18"/>
          <w:szCs w:val="18"/>
        </w:rPr>
        <w:t>18: AZN 20,074).</w:t>
      </w:r>
    </w:p>
    <w:p w14:paraId="737BC1C9" w14:textId="31EB80BF" w:rsidR="00FE53E7" w:rsidRDefault="001E22C8" w:rsidP="00FE53E7">
      <w:pPr>
        <w:jc w:val="both"/>
        <w:rPr>
          <w:sz w:val="18"/>
          <w:szCs w:val="18"/>
        </w:rPr>
      </w:pPr>
      <w:r>
        <w:rPr>
          <w:sz w:val="18"/>
          <w:szCs w:val="18"/>
        </w:rPr>
        <w:t>Interest expense related to lease agreement was accrued in amount AZN 36,616 during the year 2019.</w:t>
      </w:r>
    </w:p>
    <w:p w14:paraId="32B6F63B" w14:textId="77777777" w:rsidR="001E22C8" w:rsidRDefault="001E22C8" w:rsidP="00FE53E7">
      <w:pPr>
        <w:jc w:val="both"/>
        <w:rPr>
          <w:sz w:val="18"/>
          <w:szCs w:val="18"/>
        </w:rPr>
      </w:pPr>
    </w:p>
    <w:p w14:paraId="2CAC3400" w14:textId="2308DA32" w:rsidR="00FE53E7" w:rsidRDefault="00FE53E7" w:rsidP="00FE53E7">
      <w:pPr>
        <w:pStyle w:val="ListParagraph"/>
        <w:numPr>
          <w:ilvl w:val="0"/>
          <w:numId w:val="1"/>
        </w:numPr>
        <w:spacing w:before="240" w:after="120"/>
        <w:ind w:left="357" w:hanging="357"/>
        <w:contextualSpacing w:val="0"/>
        <w:jc w:val="both"/>
        <w:outlineLvl w:val="0"/>
        <w:rPr>
          <w:b/>
          <w:bCs/>
          <w:sz w:val="18"/>
          <w:szCs w:val="18"/>
        </w:rPr>
      </w:pPr>
      <w:bookmarkStart w:id="68" w:name="_Toc57894912"/>
      <w:r w:rsidRPr="00FE53E7">
        <w:rPr>
          <w:b/>
          <w:bCs/>
          <w:sz w:val="18"/>
          <w:szCs w:val="18"/>
        </w:rPr>
        <w:t>Other income</w:t>
      </w:r>
      <w:bookmarkEnd w:id="68"/>
    </w:p>
    <w:tbl>
      <w:tblPr>
        <w:tblW w:w="5000" w:type="pct"/>
        <w:tblLook w:val="04A0" w:firstRow="1" w:lastRow="0" w:firstColumn="1" w:lastColumn="0" w:noHBand="0" w:noVBand="1"/>
      </w:tblPr>
      <w:tblGrid>
        <w:gridCol w:w="5711"/>
        <w:gridCol w:w="1337"/>
        <w:gridCol w:w="1456"/>
      </w:tblGrid>
      <w:tr w:rsidR="00FE53E7" w:rsidRPr="00EC690A" w14:paraId="52825588" w14:textId="77777777" w:rsidTr="00926896">
        <w:trPr>
          <w:trHeight w:val="300"/>
        </w:trPr>
        <w:tc>
          <w:tcPr>
            <w:tcW w:w="3358" w:type="pct"/>
            <w:tcBorders>
              <w:top w:val="nil"/>
              <w:left w:val="nil"/>
              <w:bottom w:val="single" w:sz="4" w:space="0" w:color="auto"/>
              <w:right w:val="nil"/>
            </w:tcBorders>
            <w:shd w:val="clear" w:color="auto" w:fill="auto"/>
            <w:noWrap/>
            <w:vAlign w:val="bottom"/>
            <w:hideMark/>
          </w:tcPr>
          <w:p w14:paraId="40133218" w14:textId="77777777" w:rsidR="00FE53E7" w:rsidRPr="00EC690A" w:rsidRDefault="00FE53E7" w:rsidP="00926896">
            <w:pPr>
              <w:jc w:val="right"/>
              <w:rPr>
                <w:b/>
                <w:bCs/>
                <w:color w:val="000000"/>
                <w:sz w:val="18"/>
                <w:szCs w:val="18"/>
                <w:lang w:eastAsia="en-GB"/>
              </w:rPr>
            </w:pPr>
            <w:r w:rsidRPr="00EC690A">
              <w:rPr>
                <w:b/>
                <w:bCs/>
                <w:color w:val="000000"/>
                <w:sz w:val="18"/>
                <w:szCs w:val="18"/>
                <w:lang w:eastAsia="en-GB"/>
              </w:rPr>
              <w:t> </w:t>
            </w:r>
          </w:p>
        </w:tc>
        <w:tc>
          <w:tcPr>
            <w:tcW w:w="786" w:type="pct"/>
            <w:tcBorders>
              <w:top w:val="nil"/>
              <w:left w:val="nil"/>
              <w:bottom w:val="single" w:sz="4" w:space="0" w:color="auto"/>
              <w:right w:val="nil"/>
            </w:tcBorders>
            <w:shd w:val="clear" w:color="auto" w:fill="auto"/>
            <w:noWrap/>
            <w:vAlign w:val="bottom"/>
            <w:hideMark/>
          </w:tcPr>
          <w:p w14:paraId="3B75870E" w14:textId="77777777" w:rsidR="00FE53E7" w:rsidRPr="00703807" w:rsidRDefault="00FE53E7" w:rsidP="00926896">
            <w:pPr>
              <w:jc w:val="right"/>
              <w:rPr>
                <w:b/>
                <w:bCs/>
                <w:color w:val="000000"/>
                <w:sz w:val="18"/>
                <w:szCs w:val="18"/>
                <w:lang w:eastAsia="en-GB"/>
              </w:rPr>
            </w:pPr>
            <w:r w:rsidRPr="00703807">
              <w:rPr>
                <w:b/>
                <w:bCs/>
                <w:color w:val="000000"/>
                <w:sz w:val="18"/>
                <w:szCs w:val="18"/>
                <w:lang w:eastAsia="en-GB"/>
              </w:rPr>
              <w:t>2019</w:t>
            </w:r>
          </w:p>
        </w:tc>
        <w:tc>
          <w:tcPr>
            <w:tcW w:w="856" w:type="pct"/>
            <w:tcBorders>
              <w:top w:val="nil"/>
              <w:left w:val="nil"/>
              <w:bottom w:val="single" w:sz="4" w:space="0" w:color="auto"/>
              <w:right w:val="nil"/>
            </w:tcBorders>
            <w:shd w:val="clear" w:color="auto" w:fill="auto"/>
            <w:noWrap/>
            <w:vAlign w:val="bottom"/>
            <w:hideMark/>
          </w:tcPr>
          <w:p w14:paraId="26CAF0BD" w14:textId="77777777" w:rsidR="00FE53E7" w:rsidRPr="00703807" w:rsidRDefault="00FE53E7" w:rsidP="00926896">
            <w:pPr>
              <w:jc w:val="right"/>
              <w:rPr>
                <w:color w:val="000000"/>
                <w:sz w:val="18"/>
                <w:szCs w:val="18"/>
                <w:lang w:eastAsia="en-GB"/>
              </w:rPr>
            </w:pPr>
            <w:r w:rsidRPr="00703807">
              <w:rPr>
                <w:color w:val="000000"/>
                <w:sz w:val="18"/>
                <w:szCs w:val="18"/>
                <w:lang w:eastAsia="en-GB"/>
              </w:rPr>
              <w:t>2018</w:t>
            </w:r>
          </w:p>
        </w:tc>
      </w:tr>
      <w:tr w:rsidR="00FE53E7" w:rsidRPr="00EC690A" w14:paraId="578B15E1" w14:textId="77777777" w:rsidTr="00926896">
        <w:trPr>
          <w:trHeight w:val="300"/>
        </w:trPr>
        <w:tc>
          <w:tcPr>
            <w:tcW w:w="3358" w:type="pct"/>
            <w:tcBorders>
              <w:top w:val="nil"/>
              <w:left w:val="nil"/>
              <w:bottom w:val="nil"/>
              <w:right w:val="nil"/>
            </w:tcBorders>
            <w:shd w:val="clear" w:color="auto" w:fill="auto"/>
            <w:vAlign w:val="bottom"/>
            <w:hideMark/>
          </w:tcPr>
          <w:p w14:paraId="6D181832" w14:textId="0A7C1E27" w:rsidR="00FE53E7" w:rsidRPr="00EC690A" w:rsidRDefault="00FE53E7" w:rsidP="00926896">
            <w:pPr>
              <w:rPr>
                <w:color w:val="000000"/>
                <w:sz w:val="18"/>
                <w:szCs w:val="18"/>
                <w:lang w:eastAsia="en-GB"/>
              </w:rPr>
            </w:pPr>
            <w:r>
              <w:rPr>
                <w:color w:val="000000"/>
                <w:sz w:val="18"/>
                <w:szCs w:val="18"/>
                <w:lang w:eastAsia="en-GB"/>
              </w:rPr>
              <w:t>Rent income</w:t>
            </w:r>
            <w:r w:rsidRPr="00EC690A">
              <w:rPr>
                <w:color w:val="000000"/>
                <w:sz w:val="18"/>
                <w:szCs w:val="18"/>
                <w:lang w:eastAsia="en-GB"/>
              </w:rPr>
              <w:t xml:space="preserve"> </w:t>
            </w:r>
            <w:r>
              <w:rPr>
                <w:color w:val="000000"/>
                <w:sz w:val="18"/>
                <w:szCs w:val="18"/>
                <w:lang w:eastAsia="en-GB"/>
              </w:rPr>
              <w:t>(Note 31)</w:t>
            </w:r>
          </w:p>
        </w:tc>
        <w:tc>
          <w:tcPr>
            <w:tcW w:w="786" w:type="pct"/>
            <w:tcBorders>
              <w:top w:val="nil"/>
              <w:left w:val="nil"/>
              <w:bottom w:val="nil"/>
              <w:right w:val="nil"/>
            </w:tcBorders>
            <w:shd w:val="clear" w:color="auto" w:fill="auto"/>
            <w:noWrap/>
            <w:vAlign w:val="bottom"/>
          </w:tcPr>
          <w:p w14:paraId="5065358B" w14:textId="674BA034" w:rsidR="00FE53E7" w:rsidRPr="00703807" w:rsidRDefault="001E22C8" w:rsidP="00926896">
            <w:pPr>
              <w:jc w:val="right"/>
              <w:rPr>
                <w:b/>
                <w:bCs/>
                <w:color w:val="000000"/>
                <w:sz w:val="18"/>
                <w:szCs w:val="18"/>
                <w:lang w:eastAsia="en-GB"/>
              </w:rPr>
            </w:pPr>
            <w:r w:rsidRPr="00703807">
              <w:rPr>
                <w:b/>
                <w:bCs/>
                <w:color w:val="000000"/>
                <w:sz w:val="18"/>
                <w:szCs w:val="18"/>
                <w:lang w:eastAsia="en-GB"/>
              </w:rPr>
              <w:t>80,400</w:t>
            </w:r>
          </w:p>
        </w:tc>
        <w:tc>
          <w:tcPr>
            <w:tcW w:w="856" w:type="pct"/>
            <w:tcBorders>
              <w:top w:val="nil"/>
              <w:left w:val="nil"/>
              <w:bottom w:val="nil"/>
              <w:right w:val="nil"/>
            </w:tcBorders>
            <w:shd w:val="clear" w:color="auto" w:fill="auto"/>
            <w:noWrap/>
            <w:vAlign w:val="bottom"/>
          </w:tcPr>
          <w:p w14:paraId="55C3E73E" w14:textId="263ACF91" w:rsidR="00FE53E7" w:rsidRPr="00703807" w:rsidRDefault="00FE53E7" w:rsidP="00926896">
            <w:pPr>
              <w:jc w:val="right"/>
              <w:rPr>
                <w:color w:val="000000"/>
                <w:sz w:val="18"/>
                <w:szCs w:val="18"/>
                <w:lang w:eastAsia="en-GB"/>
              </w:rPr>
            </w:pPr>
            <w:r w:rsidRPr="00703807">
              <w:rPr>
                <w:color w:val="000000"/>
                <w:sz w:val="18"/>
                <w:szCs w:val="18"/>
                <w:lang w:eastAsia="en-GB"/>
              </w:rPr>
              <w:t>32,400</w:t>
            </w:r>
          </w:p>
        </w:tc>
      </w:tr>
      <w:tr w:rsidR="00FE53E7" w:rsidRPr="00EC690A" w14:paraId="413F325B" w14:textId="77777777" w:rsidTr="000C6782">
        <w:trPr>
          <w:trHeight w:val="301"/>
        </w:trPr>
        <w:tc>
          <w:tcPr>
            <w:tcW w:w="3358" w:type="pct"/>
            <w:tcBorders>
              <w:top w:val="nil"/>
              <w:left w:val="nil"/>
              <w:bottom w:val="nil"/>
              <w:right w:val="nil"/>
            </w:tcBorders>
            <w:shd w:val="clear" w:color="auto" w:fill="auto"/>
            <w:vAlign w:val="bottom"/>
            <w:hideMark/>
          </w:tcPr>
          <w:p w14:paraId="59FBCD5A" w14:textId="359B52C6" w:rsidR="00FE53E7" w:rsidRPr="00EC690A" w:rsidRDefault="00FE53E7" w:rsidP="00926896">
            <w:pPr>
              <w:rPr>
                <w:color w:val="000000"/>
                <w:sz w:val="18"/>
                <w:szCs w:val="18"/>
                <w:lang w:eastAsia="en-GB"/>
              </w:rPr>
            </w:pPr>
            <w:r>
              <w:rPr>
                <w:color w:val="000000"/>
                <w:sz w:val="18"/>
                <w:szCs w:val="18"/>
                <w:lang w:eastAsia="en-GB"/>
              </w:rPr>
              <w:t>Other</w:t>
            </w:r>
            <w:r w:rsidRPr="00EC690A">
              <w:rPr>
                <w:color w:val="000000"/>
                <w:sz w:val="18"/>
                <w:szCs w:val="18"/>
                <w:lang w:eastAsia="en-GB"/>
              </w:rPr>
              <w:t xml:space="preserve"> </w:t>
            </w:r>
          </w:p>
        </w:tc>
        <w:tc>
          <w:tcPr>
            <w:tcW w:w="786" w:type="pct"/>
            <w:tcBorders>
              <w:top w:val="nil"/>
              <w:left w:val="nil"/>
              <w:bottom w:val="nil"/>
              <w:right w:val="nil"/>
            </w:tcBorders>
            <w:shd w:val="clear" w:color="auto" w:fill="auto"/>
            <w:noWrap/>
            <w:vAlign w:val="bottom"/>
          </w:tcPr>
          <w:p w14:paraId="2C01DEAC" w14:textId="4224C34C" w:rsidR="00FE53E7" w:rsidRPr="00703807" w:rsidRDefault="001E22C8" w:rsidP="00926896">
            <w:pPr>
              <w:jc w:val="right"/>
              <w:rPr>
                <w:b/>
                <w:bCs/>
                <w:color w:val="000000"/>
                <w:sz w:val="18"/>
                <w:szCs w:val="18"/>
                <w:lang w:eastAsia="en-GB"/>
              </w:rPr>
            </w:pPr>
            <w:r w:rsidRPr="00703807">
              <w:rPr>
                <w:b/>
                <w:bCs/>
                <w:color w:val="000000"/>
                <w:sz w:val="18"/>
                <w:szCs w:val="18"/>
                <w:lang w:eastAsia="en-GB"/>
              </w:rPr>
              <w:t>-</w:t>
            </w:r>
          </w:p>
        </w:tc>
        <w:tc>
          <w:tcPr>
            <w:tcW w:w="856" w:type="pct"/>
            <w:tcBorders>
              <w:top w:val="nil"/>
              <w:left w:val="nil"/>
              <w:bottom w:val="nil"/>
              <w:right w:val="nil"/>
            </w:tcBorders>
            <w:shd w:val="clear" w:color="auto" w:fill="auto"/>
            <w:noWrap/>
            <w:vAlign w:val="bottom"/>
          </w:tcPr>
          <w:p w14:paraId="5EC83251" w14:textId="7552747D" w:rsidR="00FE53E7" w:rsidRPr="00703807" w:rsidRDefault="00FE53E7" w:rsidP="00926896">
            <w:pPr>
              <w:jc w:val="right"/>
              <w:rPr>
                <w:color w:val="000000"/>
                <w:sz w:val="18"/>
                <w:szCs w:val="18"/>
                <w:lang w:eastAsia="en-GB"/>
              </w:rPr>
            </w:pPr>
            <w:r w:rsidRPr="00703807">
              <w:rPr>
                <w:color w:val="000000"/>
                <w:sz w:val="18"/>
                <w:szCs w:val="18"/>
                <w:lang w:eastAsia="en-GB"/>
              </w:rPr>
              <w:t>42,067</w:t>
            </w:r>
          </w:p>
        </w:tc>
      </w:tr>
      <w:tr w:rsidR="00FE53E7" w:rsidRPr="00EC690A" w14:paraId="0D2C3BD4" w14:textId="77777777" w:rsidTr="00926896">
        <w:trPr>
          <w:trHeight w:val="315"/>
        </w:trPr>
        <w:tc>
          <w:tcPr>
            <w:tcW w:w="3358" w:type="pct"/>
            <w:tcBorders>
              <w:top w:val="single" w:sz="4" w:space="0" w:color="auto"/>
              <w:left w:val="nil"/>
              <w:bottom w:val="double" w:sz="6" w:space="0" w:color="auto"/>
              <w:right w:val="nil"/>
            </w:tcBorders>
            <w:shd w:val="clear" w:color="auto" w:fill="auto"/>
            <w:noWrap/>
            <w:vAlign w:val="bottom"/>
            <w:hideMark/>
          </w:tcPr>
          <w:p w14:paraId="307B9A3C" w14:textId="2636008D" w:rsidR="00FE53E7" w:rsidRPr="00EC690A" w:rsidRDefault="00FE53E7" w:rsidP="00926896">
            <w:pPr>
              <w:rPr>
                <w:b/>
                <w:bCs/>
                <w:color w:val="000000"/>
                <w:sz w:val="18"/>
                <w:szCs w:val="18"/>
                <w:lang w:eastAsia="en-GB"/>
              </w:rPr>
            </w:pPr>
            <w:r>
              <w:rPr>
                <w:b/>
                <w:bCs/>
                <w:color w:val="000000"/>
                <w:sz w:val="18"/>
                <w:szCs w:val="18"/>
                <w:lang w:eastAsia="en-GB"/>
              </w:rPr>
              <w:t>Total other income</w:t>
            </w:r>
          </w:p>
        </w:tc>
        <w:tc>
          <w:tcPr>
            <w:tcW w:w="786" w:type="pct"/>
            <w:tcBorders>
              <w:top w:val="single" w:sz="4" w:space="0" w:color="auto"/>
              <w:left w:val="nil"/>
              <w:bottom w:val="double" w:sz="6" w:space="0" w:color="auto"/>
              <w:right w:val="nil"/>
            </w:tcBorders>
            <w:shd w:val="clear" w:color="auto" w:fill="auto"/>
            <w:noWrap/>
            <w:vAlign w:val="bottom"/>
          </w:tcPr>
          <w:p w14:paraId="10D8CD16" w14:textId="521605DB" w:rsidR="00FE53E7" w:rsidRPr="00703807" w:rsidRDefault="001E22C8" w:rsidP="00926896">
            <w:pPr>
              <w:jc w:val="right"/>
              <w:rPr>
                <w:b/>
                <w:bCs/>
                <w:color w:val="000000"/>
                <w:sz w:val="18"/>
                <w:szCs w:val="18"/>
                <w:lang w:eastAsia="en-GB"/>
              </w:rPr>
            </w:pPr>
            <w:r w:rsidRPr="00703807">
              <w:rPr>
                <w:b/>
                <w:bCs/>
                <w:color w:val="000000"/>
                <w:sz w:val="18"/>
                <w:szCs w:val="18"/>
                <w:lang w:eastAsia="en-GB"/>
              </w:rPr>
              <w:t>80,400</w:t>
            </w:r>
          </w:p>
        </w:tc>
        <w:tc>
          <w:tcPr>
            <w:tcW w:w="856" w:type="pct"/>
            <w:tcBorders>
              <w:top w:val="single" w:sz="4" w:space="0" w:color="auto"/>
              <w:left w:val="nil"/>
              <w:bottom w:val="double" w:sz="6" w:space="0" w:color="auto"/>
              <w:right w:val="nil"/>
            </w:tcBorders>
            <w:shd w:val="clear" w:color="auto" w:fill="auto"/>
            <w:noWrap/>
            <w:vAlign w:val="bottom"/>
          </w:tcPr>
          <w:p w14:paraId="68407DF0" w14:textId="6814674D" w:rsidR="00FE53E7" w:rsidRPr="00703807" w:rsidRDefault="00FE53E7" w:rsidP="00926896">
            <w:pPr>
              <w:jc w:val="right"/>
              <w:rPr>
                <w:color w:val="000000"/>
                <w:sz w:val="18"/>
                <w:szCs w:val="18"/>
                <w:lang w:eastAsia="en-GB"/>
              </w:rPr>
            </w:pPr>
            <w:r w:rsidRPr="00703807">
              <w:rPr>
                <w:color w:val="000000"/>
                <w:sz w:val="18"/>
                <w:szCs w:val="18"/>
                <w:lang w:eastAsia="en-GB"/>
              </w:rPr>
              <w:t>74,467</w:t>
            </w:r>
          </w:p>
        </w:tc>
      </w:tr>
    </w:tbl>
    <w:p w14:paraId="25A7794C" w14:textId="3010FCEB" w:rsidR="00FE53E7" w:rsidRDefault="00FE53E7" w:rsidP="00FE53E7">
      <w:pPr>
        <w:spacing w:before="120" w:after="120"/>
        <w:rPr>
          <w:b/>
          <w:bCs/>
          <w:sz w:val="18"/>
          <w:szCs w:val="18"/>
        </w:rPr>
      </w:pPr>
    </w:p>
    <w:p w14:paraId="16C381CA" w14:textId="6556E19F" w:rsidR="001E22C8" w:rsidRDefault="001E22C8" w:rsidP="00FE53E7">
      <w:pPr>
        <w:spacing w:before="120" w:after="120"/>
        <w:rPr>
          <w:b/>
          <w:bCs/>
          <w:sz w:val="18"/>
          <w:szCs w:val="18"/>
        </w:rPr>
      </w:pPr>
    </w:p>
    <w:p w14:paraId="511A764A" w14:textId="77777777" w:rsidR="001E22C8" w:rsidRDefault="001E22C8" w:rsidP="00FE53E7">
      <w:pPr>
        <w:spacing w:before="120" w:after="120"/>
        <w:rPr>
          <w:b/>
          <w:bCs/>
          <w:sz w:val="18"/>
          <w:szCs w:val="18"/>
        </w:rPr>
      </w:pPr>
    </w:p>
    <w:p w14:paraId="65345314" w14:textId="3A07A886" w:rsidR="00FE53E7" w:rsidRDefault="00FE53E7" w:rsidP="00FE53E7">
      <w:pPr>
        <w:pStyle w:val="ListParagraph"/>
        <w:numPr>
          <w:ilvl w:val="0"/>
          <w:numId w:val="1"/>
        </w:numPr>
        <w:spacing w:before="240" w:after="120"/>
        <w:ind w:left="357" w:hanging="357"/>
        <w:contextualSpacing w:val="0"/>
        <w:outlineLvl w:val="0"/>
        <w:rPr>
          <w:b/>
          <w:bCs/>
          <w:sz w:val="18"/>
          <w:szCs w:val="18"/>
        </w:rPr>
      </w:pPr>
      <w:bookmarkStart w:id="69" w:name="_Toc57894913"/>
      <w:r>
        <w:rPr>
          <w:b/>
          <w:bCs/>
          <w:sz w:val="18"/>
          <w:szCs w:val="18"/>
        </w:rPr>
        <w:lastRenderedPageBreak/>
        <w:t>Risk management</w:t>
      </w:r>
      <w:bookmarkEnd w:id="69"/>
    </w:p>
    <w:p w14:paraId="72C892FB" w14:textId="686A5B86" w:rsidR="00FE53E7" w:rsidRDefault="00FE53E7" w:rsidP="00FE53E7">
      <w:pPr>
        <w:spacing w:before="120" w:after="120"/>
        <w:jc w:val="both"/>
        <w:rPr>
          <w:sz w:val="18"/>
          <w:szCs w:val="18"/>
        </w:rPr>
      </w:pPr>
      <w:r w:rsidRPr="00FE53E7">
        <w:rPr>
          <w:sz w:val="18"/>
          <w:szCs w:val="18"/>
        </w:rPr>
        <w:t xml:space="preserve">The risk </w:t>
      </w:r>
      <w:r w:rsidRPr="00EC690A">
        <w:rPr>
          <w:sz w:val="18"/>
          <w:szCs w:val="18"/>
        </w:rPr>
        <w:t>management function within the Company is carried out in respect of financial risks (credit, market, currency, liquidity and interest rate), operational and legal risks. The primary objectives of the financial risk management function are to establish risk limits, and then ensure that exposure to risks stays within these limits. The assessment of exposure to risks also serves as a basis for optimal distribution of risk-adjusted capital, transaction pricing and business performance assessment. The operational and legal risk management functions are intended to ensure proper functioning of internal policies and procedures to minimise operational and legal risks.</w:t>
      </w:r>
    </w:p>
    <w:p w14:paraId="53461951" w14:textId="192B8530" w:rsidR="00B869E3" w:rsidRPr="00EC690A" w:rsidRDefault="00B869E3" w:rsidP="00FE53E7">
      <w:pPr>
        <w:spacing w:before="120" w:after="120"/>
        <w:jc w:val="both"/>
        <w:rPr>
          <w:sz w:val="18"/>
          <w:szCs w:val="18"/>
        </w:rPr>
      </w:pPr>
      <w:r>
        <w:rPr>
          <w:sz w:val="18"/>
          <w:szCs w:val="18"/>
        </w:rPr>
        <w:t>The overall objective of the Management is to set policies that seek to reduce risk as far as possible without unduly affecting the Company’s comprehensiveness and flexibility. Further details regarding these policies are set out below:</w:t>
      </w:r>
    </w:p>
    <w:p w14:paraId="13BBAB49" w14:textId="77777777" w:rsidR="00FE53E7" w:rsidRPr="00EC690A" w:rsidRDefault="00FE53E7" w:rsidP="00FE53E7">
      <w:pPr>
        <w:pStyle w:val="a"/>
        <w:spacing w:before="120" w:after="120" w:line="240" w:lineRule="auto"/>
        <w:rPr>
          <w:rFonts w:ascii="Trebuchet MS" w:hAnsi="Trebuchet MS"/>
          <w:noProof w:val="0"/>
          <w:sz w:val="18"/>
          <w:szCs w:val="18"/>
          <w:lang w:val="en-GB"/>
        </w:rPr>
      </w:pPr>
      <w:r w:rsidRPr="00EC690A">
        <w:rPr>
          <w:rFonts w:ascii="Trebuchet MS" w:hAnsi="Trebuchet MS"/>
          <w:b/>
          <w:i/>
          <w:noProof w:val="0"/>
          <w:sz w:val="18"/>
          <w:szCs w:val="18"/>
          <w:lang w:val="en-GB"/>
        </w:rPr>
        <w:t xml:space="preserve">Industry risk. </w:t>
      </w:r>
      <w:r w:rsidRPr="00EC690A">
        <w:rPr>
          <w:rFonts w:ascii="Trebuchet MS" w:hAnsi="Trebuchet MS"/>
          <w:noProof w:val="0"/>
          <w:sz w:val="18"/>
          <w:szCs w:val="18"/>
          <w:lang w:val="en-GB"/>
        </w:rPr>
        <w:t>Industry risk is a possibility of incurring losses that may worsen the Company's financial condition due to concentration of operations in specific economic sector. Industry risk is managed by evaluating development of respective industry sectors (consideration of project implementation cycle, market analysis and substantiation of competitiveness, payback period and profitability), evaluating lenders, monitoring projects and determining financing forms.</w:t>
      </w:r>
    </w:p>
    <w:p w14:paraId="21A6CBFD" w14:textId="77777777" w:rsidR="00FE53E7" w:rsidRPr="00EC690A" w:rsidRDefault="00FE53E7" w:rsidP="00FE53E7">
      <w:pPr>
        <w:spacing w:before="120" w:after="120"/>
        <w:jc w:val="both"/>
        <w:rPr>
          <w:sz w:val="18"/>
          <w:szCs w:val="18"/>
        </w:rPr>
      </w:pPr>
      <w:r w:rsidRPr="00EC690A">
        <w:rPr>
          <w:b/>
          <w:bCs/>
          <w:i/>
          <w:iCs/>
          <w:sz w:val="18"/>
          <w:szCs w:val="18"/>
        </w:rPr>
        <w:t>Credit risk</w:t>
      </w:r>
      <w:r w:rsidRPr="00EC690A">
        <w:rPr>
          <w:b/>
          <w:i/>
          <w:sz w:val="18"/>
          <w:szCs w:val="18"/>
        </w:rPr>
        <w:t xml:space="preserve">. </w:t>
      </w:r>
      <w:r w:rsidRPr="00EC690A">
        <w:rPr>
          <w:sz w:val="18"/>
          <w:szCs w:val="18"/>
        </w:rPr>
        <w:t>The Company takes on exposure to credit risk which is the risk that a counterparty will be unable to pay amounts in full when due. The Company controls the credit risk it undertakes by placing limits on the amount of risk accepted in relation to one debtor, or a group of related debtors. Such risks are monitored by the Company on a regular basis, the limits being subject to an annual or more frequent review. Limits on the level of credit risk by product, debtors or groups of debtors are approved by the Company’s management.</w:t>
      </w:r>
    </w:p>
    <w:p w14:paraId="16EC72CB" w14:textId="77777777" w:rsidR="00FE53E7" w:rsidRPr="00EC690A" w:rsidRDefault="00FE53E7" w:rsidP="00FE53E7">
      <w:pPr>
        <w:spacing w:before="120" w:after="120"/>
        <w:jc w:val="both"/>
        <w:rPr>
          <w:sz w:val="18"/>
          <w:szCs w:val="18"/>
        </w:rPr>
      </w:pPr>
      <w:r w:rsidRPr="00EC690A">
        <w:rPr>
          <w:rFonts w:cs="Arial"/>
          <w:sz w:val="18"/>
          <w:szCs w:val="18"/>
        </w:rPr>
        <w:t>Exposure to credit risk is managed through regular analysis of the ability of clients and potential clients to meet repayment obligations and by changing these payment terms where appropriate.</w:t>
      </w:r>
    </w:p>
    <w:p w14:paraId="07FC8CF9" w14:textId="77777777" w:rsidR="00FE53E7" w:rsidRPr="00EC690A" w:rsidRDefault="00FE53E7" w:rsidP="00FE53E7">
      <w:pPr>
        <w:spacing w:before="120" w:after="120"/>
        <w:jc w:val="both"/>
        <w:rPr>
          <w:sz w:val="18"/>
          <w:szCs w:val="18"/>
        </w:rPr>
      </w:pPr>
      <w:r w:rsidRPr="00EC690A">
        <w:rPr>
          <w:rFonts w:cs="Arial"/>
          <w:sz w:val="18"/>
          <w:szCs w:val="18"/>
        </w:rPr>
        <w:t>The Company’s maximum exposure to credit risk is primarily reflected in the carrying value of financial assets in the statement of financial position.</w:t>
      </w:r>
      <w:r w:rsidRPr="00EC690A">
        <w:rPr>
          <w:sz w:val="18"/>
          <w:szCs w:val="18"/>
        </w:rPr>
        <w:t xml:space="preserve"> </w:t>
      </w:r>
      <w:r w:rsidRPr="00EC690A">
        <w:rPr>
          <w:rFonts w:cs="Arial"/>
          <w:sz w:val="18"/>
          <w:szCs w:val="18"/>
        </w:rPr>
        <w:t>The impact of possible netting of assets and liabilities to reduce potential credit exposure is not significant</w:t>
      </w:r>
      <w:r w:rsidRPr="00EC690A">
        <w:rPr>
          <w:sz w:val="18"/>
          <w:szCs w:val="18"/>
        </w:rPr>
        <w:t xml:space="preserve">. </w:t>
      </w:r>
      <w:r w:rsidRPr="00EC690A">
        <w:rPr>
          <w:rFonts w:cs="Arial"/>
          <w:sz w:val="18"/>
          <w:szCs w:val="18"/>
        </w:rPr>
        <w:t>For commitments, the maximum exposure to credit risk is equal to total liabilities.</w:t>
      </w:r>
    </w:p>
    <w:p w14:paraId="7EB8DAE9" w14:textId="77777777" w:rsidR="00FE53E7" w:rsidRPr="00EC690A" w:rsidRDefault="00FE53E7" w:rsidP="00FE53E7">
      <w:pPr>
        <w:spacing w:before="120" w:after="120"/>
        <w:jc w:val="both"/>
        <w:rPr>
          <w:sz w:val="18"/>
          <w:szCs w:val="18"/>
        </w:rPr>
      </w:pPr>
      <w:r w:rsidRPr="00EC690A">
        <w:rPr>
          <w:sz w:val="18"/>
          <w:szCs w:val="18"/>
        </w:rPr>
        <w:t>Credit risk for off-balance sheet financial instruments is defined as the possibility of sustaining a loss as a result of another party to a financial instrument failing to perform in accordance with the terms of the contract. The Company uses the same policies in making contingent obligations as it does for on-balance sheet financial instruments through established credit approvals, risk control limits and monitoring procedure.</w:t>
      </w:r>
    </w:p>
    <w:p w14:paraId="52D8DE64" w14:textId="77FE4BFC" w:rsidR="00FE53E7" w:rsidRDefault="000C6782" w:rsidP="00FE53E7">
      <w:pPr>
        <w:spacing w:before="120" w:after="120"/>
        <w:rPr>
          <w:sz w:val="18"/>
          <w:szCs w:val="18"/>
        </w:rPr>
      </w:pPr>
      <w:r>
        <w:rPr>
          <w:sz w:val="18"/>
          <w:szCs w:val="18"/>
        </w:rPr>
        <w:t>Further disclosures regarding categories of financial instruments are provided below.</w:t>
      </w:r>
    </w:p>
    <w:tbl>
      <w:tblPr>
        <w:tblW w:w="5000" w:type="pct"/>
        <w:tblLook w:val="04A0" w:firstRow="1" w:lastRow="0" w:firstColumn="1" w:lastColumn="0" w:noHBand="0" w:noVBand="1"/>
      </w:tblPr>
      <w:tblGrid>
        <w:gridCol w:w="5711"/>
        <w:gridCol w:w="1337"/>
        <w:gridCol w:w="1456"/>
      </w:tblGrid>
      <w:tr w:rsidR="000C6782" w:rsidRPr="00EC690A" w14:paraId="48CAEB9E" w14:textId="77777777" w:rsidTr="00926896">
        <w:trPr>
          <w:trHeight w:val="300"/>
        </w:trPr>
        <w:tc>
          <w:tcPr>
            <w:tcW w:w="3358" w:type="pct"/>
            <w:tcBorders>
              <w:top w:val="nil"/>
              <w:left w:val="nil"/>
              <w:bottom w:val="single" w:sz="4" w:space="0" w:color="auto"/>
              <w:right w:val="nil"/>
            </w:tcBorders>
            <w:shd w:val="clear" w:color="auto" w:fill="auto"/>
            <w:noWrap/>
            <w:vAlign w:val="bottom"/>
            <w:hideMark/>
          </w:tcPr>
          <w:p w14:paraId="5C09336D" w14:textId="77777777" w:rsidR="000C6782" w:rsidRPr="00EC690A" w:rsidRDefault="000C6782" w:rsidP="00926896">
            <w:pPr>
              <w:jc w:val="right"/>
              <w:rPr>
                <w:b/>
                <w:bCs/>
                <w:color w:val="000000"/>
                <w:sz w:val="18"/>
                <w:szCs w:val="18"/>
                <w:lang w:eastAsia="en-GB"/>
              </w:rPr>
            </w:pPr>
            <w:r w:rsidRPr="00EC690A">
              <w:rPr>
                <w:b/>
                <w:bCs/>
                <w:color w:val="000000"/>
                <w:sz w:val="18"/>
                <w:szCs w:val="18"/>
                <w:lang w:eastAsia="en-GB"/>
              </w:rPr>
              <w:t> </w:t>
            </w:r>
          </w:p>
        </w:tc>
        <w:tc>
          <w:tcPr>
            <w:tcW w:w="786" w:type="pct"/>
            <w:tcBorders>
              <w:top w:val="nil"/>
              <w:left w:val="nil"/>
              <w:bottom w:val="single" w:sz="4" w:space="0" w:color="auto"/>
              <w:right w:val="nil"/>
            </w:tcBorders>
            <w:shd w:val="clear" w:color="auto" w:fill="auto"/>
            <w:noWrap/>
            <w:vAlign w:val="bottom"/>
            <w:hideMark/>
          </w:tcPr>
          <w:p w14:paraId="6806CA71" w14:textId="77777777" w:rsidR="000C6782" w:rsidRPr="00EC690A" w:rsidRDefault="000C6782" w:rsidP="00926896">
            <w:pPr>
              <w:jc w:val="right"/>
              <w:rPr>
                <w:b/>
                <w:bCs/>
                <w:color w:val="000000"/>
                <w:sz w:val="18"/>
                <w:szCs w:val="18"/>
                <w:lang w:eastAsia="en-GB"/>
              </w:rPr>
            </w:pPr>
            <w:r w:rsidRPr="00EC690A">
              <w:rPr>
                <w:b/>
                <w:bCs/>
                <w:color w:val="000000"/>
                <w:sz w:val="18"/>
                <w:szCs w:val="18"/>
                <w:lang w:eastAsia="en-GB"/>
              </w:rPr>
              <w:t>201</w:t>
            </w:r>
            <w:r>
              <w:rPr>
                <w:b/>
                <w:bCs/>
                <w:color w:val="000000"/>
                <w:sz w:val="18"/>
                <w:szCs w:val="18"/>
                <w:lang w:eastAsia="en-GB"/>
              </w:rPr>
              <w:t>9</w:t>
            </w:r>
          </w:p>
        </w:tc>
        <w:tc>
          <w:tcPr>
            <w:tcW w:w="856" w:type="pct"/>
            <w:tcBorders>
              <w:top w:val="nil"/>
              <w:left w:val="nil"/>
              <w:bottom w:val="single" w:sz="4" w:space="0" w:color="auto"/>
              <w:right w:val="nil"/>
            </w:tcBorders>
            <w:shd w:val="clear" w:color="auto" w:fill="auto"/>
            <w:noWrap/>
            <w:vAlign w:val="bottom"/>
            <w:hideMark/>
          </w:tcPr>
          <w:p w14:paraId="679135D4" w14:textId="77777777" w:rsidR="000C6782" w:rsidRPr="00EC690A" w:rsidRDefault="000C6782" w:rsidP="00926896">
            <w:pPr>
              <w:jc w:val="right"/>
              <w:rPr>
                <w:b/>
                <w:bCs/>
                <w:color w:val="000000"/>
                <w:sz w:val="18"/>
                <w:szCs w:val="18"/>
                <w:lang w:eastAsia="en-GB"/>
              </w:rPr>
            </w:pPr>
            <w:r w:rsidRPr="00EC690A">
              <w:rPr>
                <w:b/>
                <w:bCs/>
                <w:color w:val="000000"/>
                <w:sz w:val="18"/>
                <w:szCs w:val="18"/>
                <w:lang w:eastAsia="en-GB"/>
              </w:rPr>
              <w:t>201</w:t>
            </w:r>
            <w:r>
              <w:rPr>
                <w:b/>
                <w:bCs/>
                <w:color w:val="000000"/>
                <w:sz w:val="18"/>
                <w:szCs w:val="18"/>
                <w:lang w:eastAsia="en-GB"/>
              </w:rPr>
              <w:t>8</w:t>
            </w:r>
          </w:p>
        </w:tc>
      </w:tr>
      <w:tr w:rsidR="000C6782" w:rsidRPr="00EC690A" w14:paraId="2F8A426D" w14:textId="77777777" w:rsidTr="00926896">
        <w:trPr>
          <w:trHeight w:val="300"/>
        </w:trPr>
        <w:tc>
          <w:tcPr>
            <w:tcW w:w="3358" w:type="pct"/>
            <w:tcBorders>
              <w:top w:val="nil"/>
              <w:left w:val="nil"/>
              <w:bottom w:val="nil"/>
              <w:right w:val="nil"/>
            </w:tcBorders>
            <w:shd w:val="clear" w:color="auto" w:fill="auto"/>
            <w:vAlign w:val="bottom"/>
            <w:hideMark/>
          </w:tcPr>
          <w:p w14:paraId="2BBDF1EE" w14:textId="5FF30086" w:rsidR="000C6782" w:rsidRPr="00EC690A" w:rsidRDefault="000C6782" w:rsidP="00926896">
            <w:pPr>
              <w:rPr>
                <w:color w:val="000000"/>
                <w:sz w:val="18"/>
                <w:szCs w:val="18"/>
                <w:lang w:eastAsia="en-GB"/>
              </w:rPr>
            </w:pPr>
            <w:r>
              <w:rPr>
                <w:color w:val="000000"/>
                <w:sz w:val="18"/>
                <w:szCs w:val="18"/>
                <w:lang w:eastAsia="en-GB"/>
              </w:rPr>
              <w:t>Cash and bank accounts</w:t>
            </w:r>
          </w:p>
        </w:tc>
        <w:tc>
          <w:tcPr>
            <w:tcW w:w="786" w:type="pct"/>
            <w:tcBorders>
              <w:top w:val="nil"/>
              <w:left w:val="nil"/>
              <w:bottom w:val="nil"/>
              <w:right w:val="nil"/>
            </w:tcBorders>
            <w:shd w:val="clear" w:color="auto" w:fill="auto"/>
            <w:noWrap/>
            <w:vAlign w:val="bottom"/>
          </w:tcPr>
          <w:p w14:paraId="30F6EFA9" w14:textId="02F206E6" w:rsidR="000C6782" w:rsidRPr="00703807" w:rsidRDefault="00703807" w:rsidP="00926896">
            <w:pPr>
              <w:jc w:val="right"/>
              <w:rPr>
                <w:b/>
                <w:bCs/>
                <w:color w:val="000000"/>
                <w:sz w:val="18"/>
                <w:szCs w:val="18"/>
                <w:lang w:eastAsia="en-GB"/>
              </w:rPr>
            </w:pPr>
            <w:r w:rsidRPr="00703807">
              <w:rPr>
                <w:b/>
                <w:bCs/>
                <w:color w:val="000000"/>
                <w:sz w:val="18"/>
                <w:szCs w:val="18"/>
                <w:lang w:eastAsia="en-GB"/>
              </w:rPr>
              <w:t>9,190,503</w:t>
            </w:r>
          </w:p>
        </w:tc>
        <w:tc>
          <w:tcPr>
            <w:tcW w:w="856" w:type="pct"/>
            <w:tcBorders>
              <w:top w:val="nil"/>
              <w:left w:val="nil"/>
              <w:bottom w:val="nil"/>
              <w:right w:val="nil"/>
            </w:tcBorders>
            <w:shd w:val="clear" w:color="auto" w:fill="auto"/>
            <w:noWrap/>
            <w:vAlign w:val="bottom"/>
          </w:tcPr>
          <w:p w14:paraId="0C54E2B7" w14:textId="5E2554B8" w:rsidR="000C6782" w:rsidRPr="00EC690A" w:rsidRDefault="000C6782" w:rsidP="00926896">
            <w:pPr>
              <w:jc w:val="right"/>
              <w:rPr>
                <w:color w:val="000000"/>
                <w:sz w:val="18"/>
                <w:szCs w:val="18"/>
                <w:lang w:eastAsia="en-GB"/>
              </w:rPr>
            </w:pPr>
            <w:r>
              <w:rPr>
                <w:color w:val="000000"/>
                <w:sz w:val="18"/>
                <w:szCs w:val="18"/>
                <w:lang w:eastAsia="en-GB"/>
              </w:rPr>
              <w:t>6,563,578</w:t>
            </w:r>
          </w:p>
        </w:tc>
      </w:tr>
      <w:tr w:rsidR="000C6782" w:rsidRPr="00EC690A" w14:paraId="07CD2FA7" w14:textId="77777777" w:rsidTr="00926896">
        <w:trPr>
          <w:trHeight w:val="300"/>
        </w:trPr>
        <w:tc>
          <w:tcPr>
            <w:tcW w:w="3358" w:type="pct"/>
            <w:tcBorders>
              <w:top w:val="nil"/>
              <w:left w:val="nil"/>
              <w:bottom w:val="nil"/>
              <w:right w:val="nil"/>
            </w:tcBorders>
            <w:shd w:val="clear" w:color="auto" w:fill="auto"/>
            <w:vAlign w:val="bottom"/>
          </w:tcPr>
          <w:p w14:paraId="0BF847CF" w14:textId="67E57B7F" w:rsidR="000C6782" w:rsidRDefault="000C6782" w:rsidP="00926896">
            <w:pPr>
              <w:rPr>
                <w:color w:val="000000"/>
                <w:sz w:val="18"/>
                <w:szCs w:val="18"/>
                <w:lang w:eastAsia="en-GB"/>
              </w:rPr>
            </w:pPr>
            <w:r>
              <w:rPr>
                <w:color w:val="000000"/>
                <w:sz w:val="18"/>
                <w:szCs w:val="18"/>
                <w:lang w:eastAsia="en-GB"/>
              </w:rPr>
              <w:t>Deposit with banks</w:t>
            </w:r>
          </w:p>
        </w:tc>
        <w:tc>
          <w:tcPr>
            <w:tcW w:w="786" w:type="pct"/>
            <w:tcBorders>
              <w:top w:val="nil"/>
              <w:left w:val="nil"/>
              <w:bottom w:val="nil"/>
              <w:right w:val="nil"/>
            </w:tcBorders>
            <w:shd w:val="clear" w:color="auto" w:fill="auto"/>
            <w:noWrap/>
            <w:vAlign w:val="bottom"/>
          </w:tcPr>
          <w:p w14:paraId="4EE78F5D" w14:textId="2F2F3AAD" w:rsidR="000C6782" w:rsidRPr="00703807" w:rsidRDefault="00703807" w:rsidP="00926896">
            <w:pPr>
              <w:jc w:val="right"/>
              <w:rPr>
                <w:b/>
                <w:bCs/>
                <w:color w:val="000000"/>
                <w:sz w:val="18"/>
                <w:szCs w:val="18"/>
                <w:lang w:eastAsia="en-GB"/>
              </w:rPr>
            </w:pPr>
            <w:r w:rsidRPr="00703807">
              <w:rPr>
                <w:b/>
                <w:bCs/>
                <w:color w:val="000000"/>
                <w:sz w:val="18"/>
                <w:szCs w:val="18"/>
                <w:lang w:eastAsia="en-GB"/>
              </w:rPr>
              <w:t>8,836,089</w:t>
            </w:r>
          </w:p>
        </w:tc>
        <w:tc>
          <w:tcPr>
            <w:tcW w:w="856" w:type="pct"/>
            <w:tcBorders>
              <w:top w:val="nil"/>
              <w:left w:val="nil"/>
              <w:bottom w:val="nil"/>
              <w:right w:val="nil"/>
            </w:tcBorders>
            <w:shd w:val="clear" w:color="auto" w:fill="auto"/>
            <w:noWrap/>
            <w:vAlign w:val="bottom"/>
          </w:tcPr>
          <w:p w14:paraId="2473C159" w14:textId="36EA3444" w:rsidR="000C6782" w:rsidRDefault="000C6782" w:rsidP="00926896">
            <w:pPr>
              <w:jc w:val="right"/>
              <w:rPr>
                <w:color w:val="000000"/>
                <w:sz w:val="18"/>
                <w:szCs w:val="18"/>
                <w:lang w:eastAsia="en-GB"/>
              </w:rPr>
            </w:pPr>
            <w:r>
              <w:rPr>
                <w:color w:val="000000"/>
                <w:sz w:val="18"/>
                <w:szCs w:val="18"/>
                <w:lang w:eastAsia="en-GB"/>
              </w:rPr>
              <w:t>6,758,840</w:t>
            </w:r>
          </w:p>
        </w:tc>
      </w:tr>
      <w:tr w:rsidR="000C6782" w:rsidRPr="00EC690A" w14:paraId="09B1EEBF" w14:textId="77777777" w:rsidTr="000C6782">
        <w:trPr>
          <w:trHeight w:val="300"/>
        </w:trPr>
        <w:tc>
          <w:tcPr>
            <w:tcW w:w="3358" w:type="pct"/>
            <w:tcBorders>
              <w:top w:val="nil"/>
              <w:left w:val="nil"/>
              <w:right w:val="nil"/>
            </w:tcBorders>
            <w:shd w:val="clear" w:color="auto" w:fill="auto"/>
            <w:vAlign w:val="bottom"/>
          </w:tcPr>
          <w:p w14:paraId="711015C7" w14:textId="19EF94E2" w:rsidR="000C6782" w:rsidRDefault="000C6782" w:rsidP="00926896">
            <w:pPr>
              <w:rPr>
                <w:color w:val="000000"/>
                <w:sz w:val="18"/>
                <w:szCs w:val="18"/>
                <w:lang w:eastAsia="en-GB"/>
              </w:rPr>
            </w:pPr>
            <w:r>
              <w:rPr>
                <w:color w:val="000000"/>
                <w:sz w:val="18"/>
                <w:szCs w:val="18"/>
                <w:lang w:eastAsia="en-GB"/>
              </w:rPr>
              <w:t>Receivables</w:t>
            </w:r>
          </w:p>
        </w:tc>
        <w:tc>
          <w:tcPr>
            <w:tcW w:w="786" w:type="pct"/>
            <w:tcBorders>
              <w:top w:val="nil"/>
              <w:left w:val="nil"/>
              <w:right w:val="nil"/>
            </w:tcBorders>
            <w:shd w:val="clear" w:color="auto" w:fill="auto"/>
            <w:noWrap/>
            <w:vAlign w:val="bottom"/>
          </w:tcPr>
          <w:p w14:paraId="1120760C" w14:textId="28A23637" w:rsidR="000C6782" w:rsidRPr="00703807" w:rsidRDefault="00703807" w:rsidP="00926896">
            <w:pPr>
              <w:jc w:val="right"/>
              <w:rPr>
                <w:b/>
                <w:bCs/>
                <w:color w:val="000000"/>
                <w:sz w:val="18"/>
                <w:szCs w:val="18"/>
                <w:lang w:eastAsia="en-GB"/>
              </w:rPr>
            </w:pPr>
            <w:r w:rsidRPr="00703807">
              <w:rPr>
                <w:b/>
                <w:bCs/>
                <w:color w:val="000000"/>
                <w:sz w:val="18"/>
                <w:szCs w:val="18"/>
                <w:lang w:eastAsia="en-GB"/>
              </w:rPr>
              <w:t>1,295,559</w:t>
            </w:r>
          </w:p>
        </w:tc>
        <w:tc>
          <w:tcPr>
            <w:tcW w:w="856" w:type="pct"/>
            <w:tcBorders>
              <w:top w:val="nil"/>
              <w:left w:val="nil"/>
              <w:right w:val="nil"/>
            </w:tcBorders>
            <w:shd w:val="clear" w:color="auto" w:fill="auto"/>
            <w:noWrap/>
            <w:vAlign w:val="bottom"/>
          </w:tcPr>
          <w:p w14:paraId="255D5C7D" w14:textId="431E156D" w:rsidR="000C6782" w:rsidRDefault="000C6782" w:rsidP="00926896">
            <w:pPr>
              <w:jc w:val="right"/>
              <w:rPr>
                <w:color w:val="000000"/>
                <w:sz w:val="18"/>
                <w:szCs w:val="18"/>
                <w:lang w:eastAsia="en-GB"/>
              </w:rPr>
            </w:pPr>
            <w:r>
              <w:rPr>
                <w:color w:val="000000"/>
                <w:sz w:val="18"/>
                <w:szCs w:val="18"/>
                <w:lang w:eastAsia="en-GB"/>
              </w:rPr>
              <w:t>6,576,384</w:t>
            </w:r>
          </w:p>
        </w:tc>
      </w:tr>
      <w:tr w:rsidR="000C6782" w:rsidRPr="00EC690A" w14:paraId="2D9C2997" w14:textId="77777777" w:rsidTr="000C6782">
        <w:trPr>
          <w:trHeight w:val="300"/>
        </w:trPr>
        <w:tc>
          <w:tcPr>
            <w:tcW w:w="3358" w:type="pct"/>
            <w:tcBorders>
              <w:top w:val="nil"/>
              <w:left w:val="nil"/>
              <w:bottom w:val="single" w:sz="4" w:space="0" w:color="auto"/>
              <w:right w:val="nil"/>
            </w:tcBorders>
            <w:shd w:val="clear" w:color="auto" w:fill="auto"/>
            <w:vAlign w:val="bottom"/>
          </w:tcPr>
          <w:p w14:paraId="38A66F8F" w14:textId="33E0F7D9" w:rsidR="000C6782" w:rsidRDefault="000C6782" w:rsidP="00926896">
            <w:pPr>
              <w:rPr>
                <w:color w:val="000000"/>
                <w:sz w:val="18"/>
                <w:szCs w:val="18"/>
                <w:lang w:eastAsia="en-GB"/>
              </w:rPr>
            </w:pPr>
            <w:r>
              <w:rPr>
                <w:color w:val="000000"/>
                <w:sz w:val="18"/>
                <w:szCs w:val="18"/>
                <w:lang w:eastAsia="en-GB"/>
              </w:rPr>
              <w:t>Reinsurance assets</w:t>
            </w:r>
          </w:p>
        </w:tc>
        <w:tc>
          <w:tcPr>
            <w:tcW w:w="786" w:type="pct"/>
            <w:tcBorders>
              <w:top w:val="nil"/>
              <w:left w:val="nil"/>
              <w:bottom w:val="single" w:sz="4" w:space="0" w:color="auto"/>
              <w:right w:val="nil"/>
            </w:tcBorders>
            <w:shd w:val="clear" w:color="auto" w:fill="auto"/>
            <w:noWrap/>
            <w:vAlign w:val="bottom"/>
          </w:tcPr>
          <w:p w14:paraId="64128369" w14:textId="0FA16807" w:rsidR="000C6782" w:rsidRPr="00703807" w:rsidRDefault="00703807" w:rsidP="00926896">
            <w:pPr>
              <w:jc w:val="right"/>
              <w:rPr>
                <w:b/>
                <w:bCs/>
                <w:color w:val="000000"/>
                <w:sz w:val="18"/>
                <w:szCs w:val="18"/>
                <w:lang w:eastAsia="en-GB"/>
              </w:rPr>
            </w:pPr>
            <w:r w:rsidRPr="00703807">
              <w:rPr>
                <w:b/>
                <w:bCs/>
                <w:color w:val="000000"/>
                <w:sz w:val="18"/>
                <w:szCs w:val="18"/>
                <w:lang w:eastAsia="en-GB"/>
              </w:rPr>
              <w:t>1,449,864</w:t>
            </w:r>
          </w:p>
        </w:tc>
        <w:tc>
          <w:tcPr>
            <w:tcW w:w="856" w:type="pct"/>
            <w:tcBorders>
              <w:top w:val="nil"/>
              <w:left w:val="nil"/>
              <w:bottom w:val="single" w:sz="4" w:space="0" w:color="auto"/>
              <w:right w:val="nil"/>
            </w:tcBorders>
            <w:shd w:val="clear" w:color="auto" w:fill="auto"/>
            <w:noWrap/>
            <w:vAlign w:val="bottom"/>
          </w:tcPr>
          <w:p w14:paraId="35483168" w14:textId="33EAA19C" w:rsidR="000C6782" w:rsidRDefault="000C6782" w:rsidP="00926896">
            <w:pPr>
              <w:jc w:val="right"/>
              <w:rPr>
                <w:color w:val="000000"/>
                <w:sz w:val="18"/>
                <w:szCs w:val="18"/>
                <w:lang w:eastAsia="en-GB"/>
              </w:rPr>
            </w:pPr>
            <w:r>
              <w:rPr>
                <w:color w:val="000000"/>
                <w:sz w:val="18"/>
                <w:szCs w:val="18"/>
                <w:lang w:eastAsia="en-GB"/>
              </w:rPr>
              <w:t>1,003,972</w:t>
            </w:r>
          </w:p>
        </w:tc>
      </w:tr>
      <w:tr w:rsidR="000C6782" w:rsidRPr="00EC690A" w14:paraId="0EF19379" w14:textId="77777777" w:rsidTr="000C6782">
        <w:trPr>
          <w:trHeight w:val="300"/>
        </w:trPr>
        <w:tc>
          <w:tcPr>
            <w:tcW w:w="3358" w:type="pct"/>
            <w:tcBorders>
              <w:top w:val="single" w:sz="4" w:space="0" w:color="auto"/>
              <w:left w:val="nil"/>
              <w:bottom w:val="double" w:sz="4" w:space="0" w:color="auto"/>
              <w:right w:val="nil"/>
            </w:tcBorders>
            <w:shd w:val="clear" w:color="auto" w:fill="auto"/>
            <w:vAlign w:val="bottom"/>
          </w:tcPr>
          <w:p w14:paraId="4DFF372C" w14:textId="5F2DCB77" w:rsidR="000C6782" w:rsidRPr="005D0A75" w:rsidRDefault="000C6782" w:rsidP="00926896">
            <w:pPr>
              <w:rPr>
                <w:b/>
                <w:bCs/>
                <w:color w:val="000000"/>
                <w:sz w:val="18"/>
                <w:szCs w:val="18"/>
                <w:lang w:eastAsia="en-GB"/>
              </w:rPr>
            </w:pPr>
            <w:r w:rsidRPr="005D0A75">
              <w:rPr>
                <w:b/>
                <w:bCs/>
                <w:color w:val="000000"/>
                <w:sz w:val="18"/>
                <w:szCs w:val="18"/>
                <w:lang w:eastAsia="en-GB"/>
              </w:rPr>
              <w:t>Total financial assets</w:t>
            </w:r>
          </w:p>
        </w:tc>
        <w:tc>
          <w:tcPr>
            <w:tcW w:w="786" w:type="pct"/>
            <w:tcBorders>
              <w:top w:val="single" w:sz="4" w:space="0" w:color="auto"/>
              <w:left w:val="nil"/>
              <w:bottom w:val="double" w:sz="4" w:space="0" w:color="auto"/>
              <w:right w:val="nil"/>
            </w:tcBorders>
            <w:shd w:val="clear" w:color="auto" w:fill="auto"/>
            <w:noWrap/>
            <w:vAlign w:val="bottom"/>
          </w:tcPr>
          <w:p w14:paraId="52F477D6" w14:textId="38B8D23F" w:rsidR="000C6782" w:rsidRPr="00703807" w:rsidRDefault="00703807" w:rsidP="00926896">
            <w:pPr>
              <w:jc w:val="right"/>
              <w:rPr>
                <w:b/>
                <w:bCs/>
                <w:color w:val="000000"/>
                <w:sz w:val="18"/>
                <w:szCs w:val="18"/>
                <w:lang w:eastAsia="en-GB"/>
              </w:rPr>
            </w:pPr>
            <w:r w:rsidRPr="00703807">
              <w:rPr>
                <w:b/>
                <w:bCs/>
                <w:color w:val="000000"/>
                <w:sz w:val="18"/>
                <w:szCs w:val="18"/>
                <w:lang w:eastAsia="en-GB"/>
              </w:rPr>
              <w:t>20,772,015</w:t>
            </w:r>
          </w:p>
        </w:tc>
        <w:tc>
          <w:tcPr>
            <w:tcW w:w="856" w:type="pct"/>
            <w:tcBorders>
              <w:top w:val="single" w:sz="4" w:space="0" w:color="auto"/>
              <w:left w:val="nil"/>
              <w:bottom w:val="double" w:sz="4" w:space="0" w:color="auto"/>
              <w:right w:val="nil"/>
            </w:tcBorders>
            <w:shd w:val="clear" w:color="auto" w:fill="auto"/>
            <w:noWrap/>
            <w:vAlign w:val="bottom"/>
          </w:tcPr>
          <w:p w14:paraId="07A63951" w14:textId="3AE4238F" w:rsidR="000C6782" w:rsidRDefault="000C6782" w:rsidP="00926896">
            <w:pPr>
              <w:jc w:val="right"/>
              <w:rPr>
                <w:color w:val="000000"/>
                <w:sz w:val="18"/>
                <w:szCs w:val="18"/>
                <w:lang w:eastAsia="en-GB"/>
              </w:rPr>
            </w:pPr>
            <w:r>
              <w:rPr>
                <w:color w:val="000000"/>
                <w:sz w:val="18"/>
                <w:szCs w:val="18"/>
                <w:lang w:eastAsia="en-GB"/>
              </w:rPr>
              <w:t>20,932,774</w:t>
            </w:r>
          </w:p>
        </w:tc>
      </w:tr>
      <w:tr w:rsidR="000C6782" w:rsidRPr="00EC690A" w14:paraId="4D675EBA" w14:textId="77777777" w:rsidTr="005D0A75">
        <w:trPr>
          <w:trHeight w:val="371"/>
        </w:trPr>
        <w:tc>
          <w:tcPr>
            <w:tcW w:w="3358" w:type="pct"/>
            <w:tcBorders>
              <w:top w:val="nil"/>
              <w:left w:val="nil"/>
              <w:bottom w:val="nil"/>
              <w:right w:val="nil"/>
            </w:tcBorders>
            <w:shd w:val="clear" w:color="auto" w:fill="auto"/>
            <w:vAlign w:val="bottom"/>
          </w:tcPr>
          <w:p w14:paraId="7C10D6BF" w14:textId="7C052019" w:rsidR="000C6782" w:rsidRDefault="000C6782" w:rsidP="00926896">
            <w:pPr>
              <w:rPr>
                <w:color w:val="000000"/>
                <w:sz w:val="18"/>
                <w:szCs w:val="18"/>
                <w:lang w:eastAsia="en-GB"/>
              </w:rPr>
            </w:pPr>
            <w:r>
              <w:rPr>
                <w:color w:val="000000"/>
                <w:sz w:val="18"/>
                <w:szCs w:val="18"/>
                <w:lang w:eastAsia="en-GB"/>
              </w:rPr>
              <w:t>Payables</w:t>
            </w:r>
          </w:p>
        </w:tc>
        <w:tc>
          <w:tcPr>
            <w:tcW w:w="786" w:type="pct"/>
            <w:tcBorders>
              <w:top w:val="nil"/>
              <w:left w:val="nil"/>
              <w:bottom w:val="nil"/>
              <w:right w:val="nil"/>
            </w:tcBorders>
            <w:shd w:val="clear" w:color="auto" w:fill="auto"/>
            <w:noWrap/>
            <w:vAlign w:val="bottom"/>
          </w:tcPr>
          <w:p w14:paraId="2D0B4550" w14:textId="4A031597" w:rsidR="000C6782" w:rsidRPr="00703807" w:rsidRDefault="008F3DF2" w:rsidP="00926896">
            <w:pPr>
              <w:jc w:val="right"/>
              <w:rPr>
                <w:b/>
                <w:bCs/>
                <w:color w:val="000000"/>
                <w:sz w:val="18"/>
                <w:szCs w:val="18"/>
                <w:lang w:eastAsia="en-GB"/>
              </w:rPr>
            </w:pPr>
            <w:r>
              <w:rPr>
                <w:b/>
                <w:bCs/>
                <w:color w:val="000000"/>
                <w:sz w:val="18"/>
                <w:szCs w:val="18"/>
                <w:lang w:eastAsia="en-GB"/>
              </w:rPr>
              <w:t>(</w:t>
            </w:r>
            <w:r w:rsidR="00ED4A6C">
              <w:rPr>
                <w:b/>
                <w:bCs/>
                <w:color w:val="000000"/>
                <w:sz w:val="18"/>
                <w:szCs w:val="18"/>
                <w:lang w:eastAsia="en-GB"/>
              </w:rPr>
              <w:t>477,784</w:t>
            </w:r>
            <w:r>
              <w:rPr>
                <w:b/>
                <w:bCs/>
                <w:color w:val="000000"/>
                <w:sz w:val="18"/>
                <w:szCs w:val="18"/>
                <w:lang w:eastAsia="en-GB"/>
              </w:rPr>
              <w:t>)</w:t>
            </w:r>
          </w:p>
        </w:tc>
        <w:tc>
          <w:tcPr>
            <w:tcW w:w="856" w:type="pct"/>
            <w:tcBorders>
              <w:top w:val="nil"/>
              <w:left w:val="nil"/>
              <w:bottom w:val="nil"/>
              <w:right w:val="nil"/>
            </w:tcBorders>
            <w:shd w:val="clear" w:color="auto" w:fill="auto"/>
            <w:noWrap/>
            <w:vAlign w:val="bottom"/>
          </w:tcPr>
          <w:p w14:paraId="246EE581" w14:textId="4BD38DA7" w:rsidR="000C6782" w:rsidRPr="00B344C3" w:rsidRDefault="008F3DF2" w:rsidP="00926896">
            <w:pPr>
              <w:jc w:val="right"/>
              <w:rPr>
                <w:color w:val="000000"/>
                <w:sz w:val="18"/>
                <w:szCs w:val="18"/>
                <w:lang w:eastAsia="en-GB"/>
              </w:rPr>
            </w:pPr>
            <w:r>
              <w:rPr>
                <w:color w:val="000000"/>
                <w:sz w:val="18"/>
                <w:szCs w:val="18"/>
                <w:lang w:eastAsia="en-GB"/>
              </w:rPr>
              <w:t>(</w:t>
            </w:r>
            <w:r w:rsidR="000C6782" w:rsidRPr="00B344C3">
              <w:rPr>
                <w:color w:val="000000"/>
                <w:sz w:val="18"/>
                <w:szCs w:val="18"/>
                <w:lang w:eastAsia="en-GB"/>
              </w:rPr>
              <w:t>384,919</w:t>
            </w:r>
            <w:r>
              <w:rPr>
                <w:color w:val="000000"/>
                <w:sz w:val="18"/>
                <w:szCs w:val="18"/>
                <w:lang w:eastAsia="en-GB"/>
              </w:rPr>
              <w:t>)</w:t>
            </w:r>
          </w:p>
        </w:tc>
      </w:tr>
      <w:tr w:rsidR="000C6782" w:rsidRPr="00EC690A" w14:paraId="39CC382F" w14:textId="77777777" w:rsidTr="00FA6DF7">
        <w:trPr>
          <w:trHeight w:val="300"/>
        </w:trPr>
        <w:tc>
          <w:tcPr>
            <w:tcW w:w="3358" w:type="pct"/>
            <w:tcBorders>
              <w:top w:val="nil"/>
              <w:left w:val="nil"/>
              <w:right w:val="nil"/>
            </w:tcBorders>
            <w:shd w:val="clear" w:color="auto" w:fill="auto"/>
            <w:vAlign w:val="bottom"/>
          </w:tcPr>
          <w:p w14:paraId="6D6332C3" w14:textId="0695C9E6" w:rsidR="000C6782" w:rsidRDefault="000C6782" w:rsidP="00926896">
            <w:pPr>
              <w:rPr>
                <w:color w:val="000000"/>
                <w:sz w:val="18"/>
                <w:szCs w:val="18"/>
                <w:lang w:eastAsia="en-GB"/>
              </w:rPr>
            </w:pPr>
            <w:r>
              <w:rPr>
                <w:color w:val="000000"/>
                <w:sz w:val="18"/>
                <w:szCs w:val="18"/>
                <w:lang w:eastAsia="en-GB"/>
              </w:rPr>
              <w:t>Lease liabilities</w:t>
            </w:r>
          </w:p>
        </w:tc>
        <w:tc>
          <w:tcPr>
            <w:tcW w:w="786" w:type="pct"/>
            <w:tcBorders>
              <w:top w:val="nil"/>
              <w:left w:val="nil"/>
              <w:right w:val="nil"/>
            </w:tcBorders>
            <w:shd w:val="clear" w:color="auto" w:fill="auto"/>
            <w:noWrap/>
            <w:vAlign w:val="bottom"/>
          </w:tcPr>
          <w:p w14:paraId="119F4C91" w14:textId="007277A1" w:rsidR="000C6782" w:rsidRPr="00703807" w:rsidRDefault="008F3DF2" w:rsidP="00926896">
            <w:pPr>
              <w:jc w:val="right"/>
              <w:rPr>
                <w:b/>
                <w:bCs/>
                <w:color w:val="000000"/>
                <w:sz w:val="18"/>
                <w:szCs w:val="18"/>
                <w:lang w:eastAsia="en-GB"/>
              </w:rPr>
            </w:pPr>
            <w:r>
              <w:rPr>
                <w:b/>
                <w:bCs/>
                <w:color w:val="000000"/>
                <w:sz w:val="18"/>
                <w:szCs w:val="18"/>
                <w:lang w:eastAsia="en-GB"/>
              </w:rPr>
              <w:t>(</w:t>
            </w:r>
            <w:r w:rsidR="00ED4A6C">
              <w:rPr>
                <w:b/>
                <w:bCs/>
                <w:color w:val="000000"/>
                <w:sz w:val="18"/>
                <w:szCs w:val="18"/>
                <w:lang w:eastAsia="en-GB"/>
              </w:rPr>
              <w:t>139,601</w:t>
            </w:r>
            <w:r>
              <w:rPr>
                <w:b/>
                <w:bCs/>
                <w:color w:val="000000"/>
                <w:sz w:val="18"/>
                <w:szCs w:val="18"/>
                <w:lang w:eastAsia="en-GB"/>
              </w:rPr>
              <w:t>)</w:t>
            </w:r>
          </w:p>
        </w:tc>
        <w:tc>
          <w:tcPr>
            <w:tcW w:w="856" w:type="pct"/>
            <w:tcBorders>
              <w:top w:val="nil"/>
              <w:left w:val="nil"/>
              <w:right w:val="nil"/>
            </w:tcBorders>
            <w:shd w:val="clear" w:color="auto" w:fill="auto"/>
            <w:noWrap/>
            <w:vAlign w:val="bottom"/>
          </w:tcPr>
          <w:p w14:paraId="2749158B" w14:textId="505781CE" w:rsidR="000C6782" w:rsidRPr="00B344C3" w:rsidRDefault="000C6782" w:rsidP="00926896">
            <w:pPr>
              <w:jc w:val="right"/>
              <w:rPr>
                <w:color w:val="000000"/>
                <w:sz w:val="18"/>
                <w:szCs w:val="18"/>
                <w:lang w:eastAsia="en-GB"/>
              </w:rPr>
            </w:pPr>
            <w:r w:rsidRPr="00B344C3">
              <w:rPr>
                <w:color w:val="000000"/>
                <w:sz w:val="18"/>
                <w:szCs w:val="18"/>
                <w:lang w:eastAsia="en-GB"/>
              </w:rPr>
              <w:t>-</w:t>
            </w:r>
          </w:p>
        </w:tc>
      </w:tr>
      <w:tr w:rsidR="000C6782" w:rsidRPr="00EC690A" w14:paraId="2B9E436A" w14:textId="77777777" w:rsidTr="00FA6DF7">
        <w:trPr>
          <w:trHeight w:val="301"/>
        </w:trPr>
        <w:tc>
          <w:tcPr>
            <w:tcW w:w="3358" w:type="pct"/>
            <w:tcBorders>
              <w:top w:val="nil"/>
              <w:left w:val="nil"/>
              <w:bottom w:val="single" w:sz="4" w:space="0" w:color="auto"/>
              <w:right w:val="nil"/>
            </w:tcBorders>
            <w:shd w:val="clear" w:color="auto" w:fill="auto"/>
            <w:vAlign w:val="bottom"/>
            <w:hideMark/>
          </w:tcPr>
          <w:p w14:paraId="66230F0F" w14:textId="68849A69" w:rsidR="000C6782" w:rsidRPr="00EC690A" w:rsidRDefault="000C6782" w:rsidP="00926896">
            <w:pPr>
              <w:rPr>
                <w:color w:val="000000"/>
                <w:sz w:val="18"/>
                <w:szCs w:val="18"/>
                <w:lang w:eastAsia="en-GB"/>
              </w:rPr>
            </w:pPr>
            <w:r>
              <w:rPr>
                <w:color w:val="000000"/>
                <w:sz w:val="18"/>
                <w:szCs w:val="18"/>
                <w:lang w:eastAsia="en-GB"/>
              </w:rPr>
              <w:t>Other</w:t>
            </w:r>
            <w:r w:rsidRPr="00EC690A">
              <w:rPr>
                <w:color w:val="000000"/>
                <w:sz w:val="18"/>
                <w:szCs w:val="18"/>
                <w:lang w:eastAsia="en-GB"/>
              </w:rPr>
              <w:t xml:space="preserve"> </w:t>
            </w:r>
            <w:r>
              <w:rPr>
                <w:color w:val="000000"/>
                <w:sz w:val="18"/>
                <w:szCs w:val="18"/>
                <w:lang w:eastAsia="en-GB"/>
              </w:rPr>
              <w:t>liabilities</w:t>
            </w:r>
          </w:p>
        </w:tc>
        <w:tc>
          <w:tcPr>
            <w:tcW w:w="786" w:type="pct"/>
            <w:tcBorders>
              <w:top w:val="nil"/>
              <w:left w:val="nil"/>
              <w:bottom w:val="single" w:sz="4" w:space="0" w:color="auto"/>
              <w:right w:val="nil"/>
            </w:tcBorders>
            <w:shd w:val="clear" w:color="auto" w:fill="auto"/>
            <w:noWrap/>
            <w:vAlign w:val="bottom"/>
          </w:tcPr>
          <w:p w14:paraId="6A05ACE1" w14:textId="13D2A914" w:rsidR="000C6782" w:rsidRPr="00703807" w:rsidRDefault="008F3DF2" w:rsidP="00926896">
            <w:pPr>
              <w:jc w:val="right"/>
              <w:rPr>
                <w:b/>
                <w:bCs/>
                <w:color w:val="000000"/>
                <w:sz w:val="18"/>
                <w:szCs w:val="18"/>
                <w:lang w:eastAsia="en-GB"/>
              </w:rPr>
            </w:pPr>
            <w:r>
              <w:rPr>
                <w:b/>
                <w:bCs/>
                <w:color w:val="000000"/>
                <w:sz w:val="18"/>
                <w:szCs w:val="18"/>
                <w:lang w:eastAsia="en-GB"/>
              </w:rPr>
              <w:t>(</w:t>
            </w:r>
            <w:r w:rsidR="00FA6DF7">
              <w:rPr>
                <w:b/>
                <w:bCs/>
                <w:color w:val="000000"/>
                <w:sz w:val="18"/>
                <w:szCs w:val="18"/>
                <w:lang w:eastAsia="en-GB"/>
              </w:rPr>
              <w:t>63,289</w:t>
            </w:r>
            <w:r>
              <w:rPr>
                <w:b/>
                <w:bCs/>
                <w:color w:val="000000"/>
                <w:sz w:val="18"/>
                <w:szCs w:val="18"/>
                <w:lang w:eastAsia="en-GB"/>
              </w:rPr>
              <w:t>)</w:t>
            </w:r>
          </w:p>
        </w:tc>
        <w:tc>
          <w:tcPr>
            <w:tcW w:w="856" w:type="pct"/>
            <w:tcBorders>
              <w:top w:val="nil"/>
              <w:left w:val="nil"/>
              <w:bottom w:val="single" w:sz="4" w:space="0" w:color="auto"/>
              <w:right w:val="nil"/>
            </w:tcBorders>
            <w:shd w:val="clear" w:color="auto" w:fill="auto"/>
            <w:noWrap/>
            <w:vAlign w:val="bottom"/>
          </w:tcPr>
          <w:p w14:paraId="76C62C4B" w14:textId="41A9D729" w:rsidR="000C6782" w:rsidRPr="00B344C3" w:rsidRDefault="008F3DF2" w:rsidP="00926896">
            <w:pPr>
              <w:jc w:val="right"/>
              <w:rPr>
                <w:color w:val="000000"/>
                <w:sz w:val="18"/>
                <w:szCs w:val="18"/>
                <w:lang w:eastAsia="en-GB"/>
              </w:rPr>
            </w:pPr>
            <w:r>
              <w:rPr>
                <w:color w:val="000000"/>
                <w:sz w:val="18"/>
                <w:szCs w:val="18"/>
                <w:lang w:eastAsia="en-GB"/>
              </w:rPr>
              <w:t>(</w:t>
            </w:r>
            <w:r w:rsidR="00FA6DF7" w:rsidRPr="00B344C3">
              <w:rPr>
                <w:color w:val="000000"/>
                <w:sz w:val="18"/>
                <w:szCs w:val="18"/>
                <w:lang w:eastAsia="en-GB"/>
              </w:rPr>
              <w:t>18,689</w:t>
            </w:r>
            <w:r>
              <w:rPr>
                <w:color w:val="000000"/>
                <w:sz w:val="18"/>
                <w:szCs w:val="18"/>
                <w:lang w:eastAsia="en-GB"/>
              </w:rPr>
              <w:t>)</w:t>
            </w:r>
          </w:p>
        </w:tc>
      </w:tr>
      <w:tr w:rsidR="000C6782" w:rsidRPr="00EC690A" w14:paraId="07141E68" w14:textId="77777777" w:rsidTr="00926896">
        <w:trPr>
          <w:trHeight w:val="315"/>
        </w:trPr>
        <w:tc>
          <w:tcPr>
            <w:tcW w:w="3358" w:type="pct"/>
            <w:tcBorders>
              <w:top w:val="single" w:sz="4" w:space="0" w:color="auto"/>
              <w:left w:val="nil"/>
              <w:bottom w:val="double" w:sz="6" w:space="0" w:color="auto"/>
              <w:right w:val="nil"/>
            </w:tcBorders>
            <w:shd w:val="clear" w:color="auto" w:fill="auto"/>
            <w:noWrap/>
            <w:vAlign w:val="bottom"/>
            <w:hideMark/>
          </w:tcPr>
          <w:p w14:paraId="718D113F" w14:textId="4A01A2AB" w:rsidR="000C6782" w:rsidRPr="00EC690A" w:rsidRDefault="000C6782" w:rsidP="00926896">
            <w:pPr>
              <w:rPr>
                <w:b/>
                <w:bCs/>
                <w:color w:val="000000"/>
                <w:sz w:val="18"/>
                <w:szCs w:val="18"/>
                <w:lang w:eastAsia="en-GB"/>
              </w:rPr>
            </w:pPr>
            <w:r>
              <w:rPr>
                <w:b/>
                <w:bCs/>
                <w:color w:val="000000"/>
                <w:sz w:val="18"/>
                <w:szCs w:val="18"/>
                <w:lang w:eastAsia="en-GB"/>
              </w:rPr>
              <w:t xml:space="preserve">Total </w:t>
            </w:r>
            <w:r w:rsidR="00FA6DF7">
              <w:rPr>
                <w:b/>
                <w:bCs/>
                <w:color w:val="000000"/>
                <w:sz w:val="18"/>
                <w:szCs w:val="18"/>
                <w:lang w:eastAsia="en-GB"/>
              </w:rPr>
              <w:t>financial liabilities</w:t>
            </w:r>
          </w:p>
        </w:tc>
        <w:tc>
          <w:tcPr>
            <w:tcW w:w="786" w:type="pct"/>
            <w:tcBorders>
              <w:top w:val="single" w:sz="4" w:space="0" w:color="auto"/>
              <w:left w:val="nil"/>
              <w:bottom w:val="double" w:sz="6" w:space="0" w:color="auto"/>
              <w:right w:val="nil"/>
            </w:tcBorders>
            <w:shd w:val="clear" w:color="auto" w:fill="auto"/>
            <w:noWrap/>
            <w:vAlign w:val="bottom"/>
          </w:tcPr>
          <w:p w14:paraId="4BDB92A0" w14:textId="3783CA1C" w:rsidR="000C6782" w:rsidRPr="00703807" w:rsidRDefault="008F3DF2" w:rsidP="00926896">
            <w:pPr>
              <w:jc w:val="right"/>
              <w:rPr>
                <w:b/>
                <w:bCs/>
                <w:color w:val="000000"/>
                <w:sz w:val="18"/>
                <w:szCs w:val="18"/>
                <w:lang w:eastAsia="en-GB"/>
              </w:rPr>
            </w:pPr>
            <w:r>
              <w:rPr>
                <w:b/>
                <w:bCs/>
                <w:color w:val="000000"/>
                <w:sz w:val="18"/>
                <w:szCs w:val="18"/>
                <w:lang w:eastAsia="en-GB"/>
              </w:rPr>
              <w:t>(</w:t>
            </w:r>
            <w:r w:rsidR="005D0A75">
              <w:rPr>
                <w:b/>
                <w:bCs/>
                <w:color w:val="000000"/>
                <w:sz w:val="18"/>
                <w:szCs w:val="18"/>
                <w:lang w:eastAsia="en-GB"/>
              </w:rPr>
              <w:t>680,674</w:t>
            </w:r>
            <w:r>
              <w:rPr>
                <w:b/>
                <w:bCs/>
                <w:color w:val="000000"/>
                <w:sz w:val="18"/>
                <w:szCs w:val="18"/>
                <w:lang w:eastAsia="en-GB"/>
              </w:rPr>
              <w:t>)</w:t>
            </w:r>
          </w:p>
        </w:tc>
        <w:tc>
          <w:tcPr>
            <w:tcW w:w="856" w:type="pct"/>
            <w:tcBorders>
              <w:top w:val="single" w:sz="4" w:space="0" w:color="auto"/>
              <w:left w:val="nil"/>
              <w:bottom w:val="double" w:sz="6" w:space="0" w:color="auto"/>
              <w:right w:val="nil"/>
            </w:tcBorders>
            <w:shd w:val="clear" w:color="auto" w:fill="auto"/>
            <w:noWrap/>
            <w:vAlign w:val="bottom"/>
          </w:tcPr>
          <w:p w14:paraId="4194DDF7" w14:textId="27DD20A7" w:rsidR="000C6782" w:rsidRPr="00B344C3" w:rsidRDefault="008F3DF2" w:rsidP="00926896">
            <w:pPr>
              <w:jc w:val="right"/>
              <w:rPr>
                <w:color w:val="000000"/>
                <w:sz w:val="18"/>
                <w:szCs w:val="18"/>
                <w:lang w:eastAsia="en-GB"/>
              </w:rPr>
            </w:pPr>
            <w:r>
              <w:rPr>
                <w:color w:val="000000"/>
                <w:sz w:val="18"/>
                <w:szCs w:val="18"/>
                <w:lang w:eastAsia="en-GB"/>
              </w:rPr>
              <w:t>(</w:t>
            </w:r>
            <w:r w:rsidR="005D0A75">
              <w:rPr>
                <w:color w:val="000000"/>
                <w:sz w:val="18"/>
                <w:szCs w:val="18"/>
                <w:lang w:eastAsia="en-GB"/>
              </w:rPr>
              <w:t>403,608</w:t>
            </w:r>
            <w:r>
              <w:rPr>
                <w:color w:val="000000"/>
                <w:sz w:val="18"/>
                <w:szCs w:val="18"/>
                <w:lang w:eastAsia="en-GB"/>
              </w:rPr>
              <w:t>)</w:t>
            </w:r>
          </w:p>
        </w:tc>
      </w:tr>
    </w:tbl>
    <w:p w14:paraId="58F8D5D0" w14:textId="77777777" w:rsidR="000C5941" w:rsidRDefault="000C5941" w:rsidP="00FE53E7">
      <w:pPr>
        <w:spacing w:before="120" w:after="120"/>
        <w:rPr>
          <w:sz w:val="18"/>
          <w:szCs w:val="18"/>
        </w:rPr>
        <w:sectPr w:rsidR="000C5941" w:rsidSect="00ED4A6C">
          <w:pgSz w:w="11906" w:h="16838" w:code="9"/>
          <w:pgMar w:top="1440" w:right="1701" w:bottom="1440" w:left="1701" w:header="709" w:footer="709" w:gutter="0"/>
          <w:cols w:space="708"/>
          <w:docGrid w:linePitch="360"/>
        </w:sectPr>
      </w:pPr>
    </w:p>
    <w:p w14:paraId="69A3C22E" w14:textId="5098DA4C" w:rsidR="000C6782" w:rsidRDefault="000C5941" w:rsidP="00FE53E7">
      <w:pPr>
        <w:spacing w:before="120" w:after="120"/>
        <w:rPr>
          <w:sz w:val="18"/>
          <w:szCs w:val="18"/>
        </w:rPr>
      </w:pPr>
      <w:r>
        <w:rPr>
          <w:sz w:val="18"/>
          <w:szCs w:val="18"/>
        </w:rPr>
        <w:lastRenderedPageBreak/>
        <w:t>Ageing analysis of not impaired and impaired financial assets as at 31 December 2019:</w:t>
      </w:r>
    </w:p>
    <w:tbl>
      <w:tblPr>
        <w:tblW w:w="14034" w:type="dxa"/>
        <w:tblLayout w:type="fixed"/>
        <w:tblLook w:val="04A0" w:firstRow="1" w:lastRow="0" w:firstColumn="1" w:lastColumn="0" w:noHBand="0" w:noVBand="1"/>
      </w:tblPr>
      <w:tblGrid>
        <w:gridCol w:w="3402"/>
        <w:gridCol w:w="1418"/>
        <w:gridCol w:w="1134"/>
        <w:gridCol w:w="1276"/>
        <w:gridCol w:w="1134"/>
        <w:gridCol w:w="1134"/>
        <w:gridCol w:w="1417"/>
        <w:gridCol w:w="1559"/>
        <w:gridCol w:w="1560"/>
      </w:tblGrid>
      <w:tr w:rsidR="000C5941" w:rsidRPr="00B344C3" w14:paraId="40854DE5" w14:textId="77777777" w:rsidTr="00926896">
        <w:trPr>
          <w:trHeight w:val="300"/>
        </w:trPr>
        <w:tc>
          <w:tcPr>
            <w:tcW w:w="3402" w:type="dxa"/>
            <w:tcBorders>
              <w:top w:val="nil"/>
              <w:left w:val="nil"/>
              <w:bottom w:val="nil"/>
              <w:right w:val="nil"/>
            </w:tcBorders>
            <w:shd w:val="clear" w:color="auto" w:fill="auto"/>
            <w:noWrap/>
            <w:vAlign w:val="bottom"/>
            <w:hideMark/>
          </w:tcPr>
          <w:p w14:paraId="53037F8B" w14:textId="77777777" w:rsidR="000C5941" w:rsidRPr="00B344C3" w:rsidRDefault="000C5941" w:rsidP="00926896">
            <w:pPr>
              <w:rPr>
                <w:sz w:val="18"/>
                <w:szCs w:val="18"/>
                <w:lang w:eastAsia="en-GB"/>
              </w:rPr>
            </w:pPr>
          </w:p>
        </w:tc>
        <w:tc>
          <w:tcPr>
            <w:tcW w:w="1418" w:type="dxa"/>
            <w:tcBorders>
              <w:top w:val="nil"/>
              <w:left w:val="nil"/>
              <w:bottom w:val="nil"/>
              <w:right w:val="nil"/>
            </w:tcBorders>
            <w:shd w:val="clear" w:color="auto" w:fill="auto"/>
            <w:noWrap/>
            <w:vAlign w:val="bottom"/>
            <w:hideMark/>
          </w:tcPr>
          <w:p w14:paraId="4840DA67" w14:textId="77777777" w:rsidR="000C5941" w:rsidRPr="00B344C3" w:rsidRDefault="000C5941" w:rsidP="00926896">
            <w:pPr>
              <w:rPr>
                <w:sz w:val="18"/>
                <w:szCs w:val="18"/>
                <w:lang w:eastAsia="en-GB"/>
              </w:rPr>
            </w:pPr>
          </w:p>
        </w:tc>
        <w:tc>
          <w:tcPr>
            <w:tcW w:w="1134" w:type="dxa"/>
            <w:tcBorders>
              <w:top w:val="nil"/>
              <w:left w:val="nil"/>
              <w:bottom w:val="single" w:sz="4" w:space="0" w:color="auto"/>
              <w:right w:val="nil"/>
            </w:tcBorders>
            <w:shd w:val="clear" w:color="auto" w:fill="auto"/>
            <w:noWrap/>
            <w:vAlign w:val="bottom"/>
            <w:hideMark/>
          </w:tcPr>
          <w:p w14:paraId="7B077243" w14:textId="77777777" w:rsidR="000C5941" w:rsidRPr="00B344C3" w:rsidRDefault="000C5941" w:rsidP="00926896">
            <w:pPr>
              <w:rPr>
                <w:color w:val="000000"/>
                <w:sz w:val="18"/>
                <w:szCs w:val="18"/>
                <w:lang w:eastAsia="en-GB"/>
              </w:rPr>
            </w:pPr>
            <w:r w:rsidRPr="00B344C3">
              <w:rPr>
                <w:color w:val="000000"/>
                <w:sz w:val="18"/>
                <w:szCs w:val="18"/>
                <w:lang w:eastAsia="en-GB"/>
              </w:rPr>
              <w:t> </w:t>
            </w:r>
          </w:p>
        </w:tc>
        <w:tc>
          <w:tcPr>
            <w:tcW w:w="2410" w:type="dxa"/>
            <w:gridSpan w:val="2"/>
            <w:tcBorders>
              <w:top w:val="nil"/>
              <w:left w:val="nil"/>
              <w:bottom w:val="single" w:sz="4" w:space="0" w:color="auto"/>
              <w:right w:val="nil"/>
            </w:tcBorders>
            <w:shd w:val="clear" w:color="auto" w:fill="auto"/>
            <w:noWrap/>
            <w:vAlign w:val="bottom"/>
            <w:hideMark/>
          </w:tcPr>
          <w:p w14:paraId="67B7742A" w14:textId="77777777" w:rsidR="000C5941" w:rsidRPr="00B344C3" w:rsidRDefault="000C5941" w:rsidP="00926896">
            <w:pPr>
              <w:rPr>
                <w:b/>
                <w:color w:val="000000"/>
                <w:sz w:val="18"/>
                <w:szCs w:val="18"/>
                <w:lang w:eastAsia="en-GB"/>
              </w:rPr>
            </w:pPr>
            <w:r w:rsidRPr="00B344C3">
              <w:rPr>
                <w:b/>
                <w:color w:val="000000"/>
                <w:sz w:val="18"/>
                <w:szCs w:val="18"/>
                <w:lang w:eastAsia="en-GB"/>
              </w:rPr>
              <w:t>Impaired financial assets</w:t>
            </w:r>
          </w:p>
        </w:tc>
        <w:tc>
          <w:tcPr>
            <w:tcW w:w="1134" w:type="dxa"/>
            <w:tcBorders>
              <w:top w:val="nil"/>
              <w:left w:val="nil"/>
              <w:bottom w:val="single" w:sz="4" w:space="0" w:color="auto"/>
              <w:right w:val="nil"/>
            </w:tcBorders>
            <w:shd w:val="clear" w:color="auto" w:fill="auto"/>
            <w:noWrap/>
            <w:vAlign w:val="bottom"/>
            <w:hideMark/>
          </w:tcPr>
          <w:p w14:paraId="03F06AF8" w14:textId="77777777" w:rsidR="000C5941" w:rsidRPr="00B344C3" w:rsidRDefault="000C5941" w:rsidP="00926896">
            <w:pPr>
              <w:rPr>
                <w:color w:val="000000"/>
                <w:sz w:val="18"/>
                <w:szCs w:val="18"/>
                <w:lang w:eastAsia="en-GB"/>
              </w:rPr>
            </w:pPr>
            <w:r w:rsidRPr="00B344C3">
              <w:rPr>
                <w:color w:val="000000"/>
                <w:sz w:val="18"/>
                <w:szCs w:val="18"/>
                <w:lang w:eastAsia="en-GB"/>
              </w:rPr>
              <w:t> </w:t>
            </w:r>
          </w:p>
        </w:tc>
        <w:tc>
          <w:tcPr>
            <w:tcW w:w="1417" w:type="dxa"/>
            <w:tcBorders>
              <w:top w:val="nil"/>
              <w:left w:val="nil"/>
              <w:bottom w:val="nil"/>
              <w:right w:val="nil"/>
            </w:tcBorders>
            <w:shd w:val="clear" w:color="auto" w:fill="auto"/>
            <w:noWrap/>
            <w:vAlign w:val="bottom"/>
            <w:hideMark/>
          </w:tcPr>
          <w:p w14:paraId="39445B4D" w14:textId="77777777" w:rsidR="000C5941" w:rsidRPr="00B344C3" w:rsidRDefault="000C5941" w:rsidP="00926896">
            <w:pPr>
              <w:rPr>
                <w:color w:val="000000"/>
                <w:sz w:val="18"/>
                <w:szCs w:val="18"/>
                <w:lang w:eastAsia="en-GB"/>
              </w:rPr>
            </w:pPr>
          </w:p>
        </w:tc>
        <w:tc>
          <w:tcPr>
            <w:tcW w:w="1559" w:type="dxa"/>
            <w:tcBorders>
              <w:top w:val="nil"/>
              <w:left w:val="nil"/>
              <w:bottom w:val="nil"/>
              <w:right w:val="nil"/>
            </w:tcBorders>
            <w:shd w:val="clear" w:color="auto" w:fill="auto"/>
            <w:noWrap/>
            <w:vAlign w:val="bottom"/>
            <w:hideMark/>
          </w:tcPr>
          <w:p w14:paraId="0E6F5D16" w14:textId="77777777" w:rsidR="000C5941" w:rsidRPr="00B344C3" w:rsidRDefault="000C5941" w:rsidP="00926896">
            <w:pPr>
              <w:rPr>
                <w:sz w:val="18"/>
                <w:szCs w:val="18"/>
                <w:lang w:eastAsia="en-GB"/>
              </w:rPr>
            </w:pPr>
          </w:p>
        </w:tc>
        <w:tc>
          <w:tcPr>
            <w:tcW w:w="1560" w:type="dxa"/>
            <w:tcBorders>
              <w:top w:val="nil"/>
              <w:left w:val="nil"/>
              <w:bottom w:val="nil"/>
              <w:right w:val="nil"/>
            </w:tcBorders>
            <w:shd w:val="clear" w:color="auto" w:fill="auto"/>
            <w:noWrap/>
            <w:vAlign w:val="bottom"/>
            <w:hideMark/>
          </w:tcPr>
          <w:p w14:paraId="6152CCBD" w14:textId="77777777" w:rsidR="000C5941" w:rsidRPr="00B344C3" w:rsidRDefault="000C5941" w:rsidP="00926896">
            <w:pPr>
              <w:rPr>
                <w:sz w:val="18"/>
                <w:szCs w:val="18"/>
                <w:lang w:eastAsia="en-GB"/>
              </w:rPr>
            </w:pPr>
          </w:p>
        </w:tc>
      </w:tr>
      <w:tr w:rsidR="000C5941" w:rsidRPr="00B344C3" w14:paraId="3642BDF7" w14:textId="77777777" w:rsidTr="00926896">
        <w:trPr>
          <w:trHeight w:val="900"/>
        </w:trPr>
        <w:tc>
          <w:tcPr>
            <w:tcW w:w="3402" w:type="dxa"/>
            <w:tcBorders>
              <w:top w:val="nil"/>
              <w:left w:val="nil"/>
              <w:bottom w:val="nil"/>
              <w:right w:val="nil"/>
            </w:tcBorders>
            <w:shd w:val="clear" w:color="auto" w:fill="auto"/>
            <w:noWrap/>
            <w:vAlign w:val="bottom"/>
            <w:hideMark/>
          </w:tcPr>
          <w:p w14:paraId="550A1EDC" w14:textId="77777777" w:rsidR="000C5941" w:rsidRPr="00B344C3" w:rsidRDefault="000C5941" w:rsidP="00926896">
            <w:pPr>
              <w:rPr>
                <w:sz w:val="18"/>
                <w:szCs w:val="18"/>
                <w:lang w:eastAsia="en-GB"/>
              </w:rPr>
            </w:pPr>
          </w:p>
        </w:tc>
        <w:tc>
          <w:tcPr>
            <w:tcW w:w="1418" w:type="dxa"/>
            <w:tcBorders>
              <w:top w:val="nil"/>
              <w:left w:val="nil"/>
              <w:bottom w:val="single" w:sz="4" w:space="0" w:color="auto"/>
              <w:right w:val="nil"/>
            </w:tcBorders>
            <w:shd w:val="clear" w:color="auto" w:fill="auto"/>
            <w:vAlign w:val="bottom"/>
            <w:hideMark/>
          </w:tcPr>
          <w:p w14:paraId="004EC181"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Not impaired</w:t>
            </w:r>
          </w:p>
        </w:tc>
        <w:tc>
          <w:tcPr>
            <w:tcW w:w="1134" w:type="dxa"/>
            <w:tcBorders>
              <w:top w:val="nil"/>
              <w:left w:val="nil"/>
              <w:bottom w:val="single" w:sz="4" w:space="0" w:color="auto"/>
              <w:right w:val="nil"/>
            </w:tcBorders>
            <w:shd w:val="clear" w:color="auto" w:fill="auto"/>
            <w:vAlign w:val="bottom"/>
            <w:hideMark/>
          </w:tcPr>
          <w:p w14:paraId="686234B2"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 xml:space="preserve"> Less than </w:t>
            </w:r>
            <w:proofErr w:type="gramStart"/>
            <w:r w:rsidRPr="00B344C3">
              <w:rPr>
                <w:b/>
                <w:bCs/>
                <w:color w:val="000000"/>
                <w:sz w:val="18"/>
                <w:szCs w:val="18"/>
                <w:lang w:eastAsia="en-GB"/>
              </w:rPr>
              <w:t>1 month</w:t>
            </w:r>
            <w:proofErr w:type="gramEnd"/>
            <w:r w:rsidRPr="00B344C3">
              <w:rPr>
                <w:b/>
                <w:bCs/>
                <w:color w:val="000000"/>
                <w:sz w:val="18"/>
                <w:szCs w:val="18"/>
                <w:lang w:eastAsia="en-GB"/>
              </w:rPr>
              <w:t xml:space="preserve"> overdue</w:t>
            </w:r>
          </w:p>
        </w:tc>
        <w:tc>
          <w:tcPr>
            <w:tcW w:w="1276" w:type="dxa"/>
            <w:tcBorders>
              <w:top w:val="nil"/>
              <w:left w:val="nil"/>
              <w:bottom w:val="single" w:sz="4" w:space="0" w:color="auto"/>
              <w:right w:val="nil"/>
            </w:tcBorders>
            <w:shd w:val="clear" w:color="auto" w:fill="auto"/>
            <w:vAlign w:val="bottom"/>
            <w:hideMark/>
          </w:tcPr>
          <w:p w14:paraId="1A8C91C5"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From 1 to 6 months overdue</w:t>
            </w:r>
          </w:p>
        </w:tc>
        <w:tc>
          <w:tcPr>
            <w:tcW w:w="1134" w:type="dxa"/>
            <w:tcBorders>
              <w:top w:val="nil"/>
              <w:left w:val="nil"/>
              <w:bottom w:val="single" w:sz="4" w:space="0" w:color="auto"/>
              <w:right w:val="nil"/>
            </w:tcBorders>
            <w:shd w:val="clear" w:color="auto" w:fill="auto"/>
            <w:vAlign w:val="bottom"/>
            <w:hideMark/>
          </w:tcPr>
          <w:p w14:paraId="1DC0F328"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From 6 to 12 months overdue</w:t>
            </w:r>
          </w:p>
        </w:tc>
        <w:tc>
          <w:tcPr>
            <w:tcW w:w="1134" w:type="dxa"/>
            <w:tcBorders>
              <w:top w:val="nil"/>
              <w:left w:val="nil"/>
              <w:bottom w:val="single" w:sz="4" w:space="0" w:color="auto"/>
              <w:right w:val="nil"/>
            </w:tcBorders>
            <w:shd w:val="clear" w:color="auto" w:fill="auto"/>
            <w:vAlign w:val="bottom"/>
            <w:hideMark/>
          </w:tcPr>
          <w:p w14:paraId="0E3D0F0A"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From 1 to 5 years overdue</w:t>
            </w:r>
          </w:p>
        </w:tc>
        <w:tc>
          <w:tcPr>
            <w:tcW w:w="1417" w:type="dxa"/>
            <w:tcBorders>
              <w:top w:val="nil"/>
              <w:left w:val="nil"/>
              <w:bottom w:val="single" w:sz="4" w:space="0" w:color="auto"/>
              <w:right w:val="nil"/>
            </w:tcBorders>
            <w:shd w:val="clear" w:color="auto" w:fill="auto"/>
            <w:vAlign w:val="bottom"/>
            <w:hideMark/>
          </w:tcPr>
          <w:p w14:paraId="5776AD60"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Impaired but not overdue</w:t>
            </w:r>
          </w:p>
        </w:tc>
        <w:tc>
          <w:tcPr>
            <w:tcW w:w="1559" w:type="dxa"/>
            <w:tcBorders>
              <w:top w:val="nil"/>
              <w:left w:val="nil"/>
              <w:bottom w:val="single" w:sz="4" w:space="0" w:color="auto"/>
              <w:right w:val="nil"/>
            </w:tcBorders>
            <w:shd w:val="clear" w:color="auto" w:fill="auto"/>
            <w:vAlign w:val="bottom"/>
            <w:hideMark/>
          </w:tcPr>
          <w:p w14:paraId="7EE6254C"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Provision for impairment</w:t>
            </w:r>
          </w:p>
        </w:tc>
        <w:tc>
          <w:tcPr>
            <w:tcW w:w="1560" w:type="dxa"/>
            <w:tcBorders>
              <w:top w:val="nil"/>
              <w:left w:val="nil"/>
              <w:bottom w:val="single" w:sz="4" w:space="0" w:color="auto"/>
              <w:right w:val="nil"/>
            </w:tcBorders>
            <w:shd w:val="clear" w:color="auto" w:fill="auto"/>
            <w:vAlign w:val="bottom"/>
            <w:hideMark/>
          </w:tcPr>
          <w:p w14:paraId="5E31C440" w14:textId="77777777" w:rsidR="000C5941" w:rsidRPr="00B344C3" w:rsidRDefault="000C5941" w:rsidP="00926896">
            <w:pPr>
              <w:jc w:val="right"/>
              <w:rPr>
                <w:b/>
                <w:bCs/>
                <w:color w:val="000000"/>
                <w:sz w:val="18"/>
                <w:szCs w:val="18"/>
                <w:lang w:eastAsia="en-GB"/>
              </w:rPr>
            </w:pPr>
            <w:r w:rsidRPr="00B344C3">
              <w:rPr>
                <w:b/>
                <w:bCs/>
                <w:color w:val="000000"/>
                <w:sz w:val="18"/>
                <w:szCs w:val="18"/>
                <w:lang w:eastAsia="en-GB"/>
              </w:rPr>
              <w:t>Total</w:t>
            </w:r>
          </w:p>
        </w:tc>
      </w:tr>
      <w:tr w:rsidR="000C5941" w:rsidRPr="00B344C3" w14:paraId="31399483" w14:textId="77777777" w:rsidTr="00B344C3">
        <w:trPr>
          <w:trHeight w:val="300"/>
        </w:trPr>
        <w:tc>
          <w:tcPr>
            <w:tcW w:w="3402" w:type="dxa"/>
            <w:tcBorders>
              <w:top w:val="nil"/>
              <w:left w:val="nil"/>
              <w:bottom w:val="nil"/>
              <w:right w:val="nil"/>
            </w:tcBorders>
            <w:shd w:val="clear" w:color="auto" w:fill="auto"/>
            <w:noWrap/>
            <w:vAlign w:val="center"/>
            <w:hideMark/>
          </w:tcPr>
          <w:p w14:paraId="397E8A18" w14:textId="574F5567" w:rsidR="000C5941" w:rsidRPr="00B344C3" w:rsidRDefault="000C5941" w:rsidP="00926896">
            <w:pPr>
              <w:rPr>
                <w:color w:val="000000"/>
                <w:sz w:val="18"/>
                <w:szCs w:val="18"/>
                <w:lang w:eastAsia="en-GB"/>
              </w:rPr>
            </w:pPr>
            <w:r w:rsidRPr="00B344C3">
              <w:rPr>
                <w:color w:val="000000"/>
                <w:sz w:val="18"/>
                <w:szCs w:val="18"/>
                <w:lang w:eastAsia="en-GB"/>
              </w:rPr>
              <w:t>Cash and bank accounts</w:t>
            </w:r>
          </w:p>
        </w:tc>
        <w:tc>
          <w:tcPr>
            <w:tcW w:w="1418" w:type="dxa"/>
            <w:tcBorders>
              <w:top w:val="nil"/>
              <w:left w:val="nil"/>
              <w:bottom w:val="nil"/>
              <w:right w:val="nil"/>
            </w:tcBorders>
            <w:shd w:val="clear" w:color="auto" w:fill="auto"/>
            <w:noWrap/>
            <w:vAlign w:val="bottom"/>
          </w:tcPr>
          <w:p w14:paraId="46847AA2" w14:textId="2BEB2B2A" w:rsidR="000C5941" w:rsidRPr="00B344C3" w:rsidRDefault="00B344C3" w:rsidP="00B344C3">
            <w:pPr>
              <w:jc w:val="right"/>
              <w:rPr>
                <w:color w:val="000000"/>
                <w:sz w:val="18"/>
                <w:szCs w:val="18"/>
                <w:lang w:eastAsia="en-GB"/>
              </w:rPr>
            </w:pPr>
            <w:r w:rsidRPr="00B344C3">
              <w:rPr>
                <w:color w:val="000000"/>
                <w:sz w:val="18"/>
                <w:szCs w:val="18"/>
                <w:lang w:eastAsia="en-GB"/>
              </w:rPr>
              <w:t>9,</w:t>
            </w:r>
            <w:r>
              <w:rPr>
                <w:color w:val="000000"/>
                <w:sz w:val="18"/>
                <w:szCs w:val="18"/>
                <w:lang w:eastAsia="en-GB"/>
              </w:rPr>
              <w:t>190,503</w:t>
            </w:r>
          </w:p>
        </w:tc>
        <w:tc>
          <w:tcPr>
            <w:tcW w:w="1134" w:type="dxa"/>
            <w:tcBorders>
              <w:top w:val="nil"/>
              <w:left w:val="nil"/>
              <w:bottom w:val="nil"/>
              <w:right w:val="nil"/>
            </w:tcBorders>
            <w:shd w:val="clear" w:color="auto" w:fill="auto"/>
            <w:noWrap/>
            <w:vAlign w:val="bottom"/>
            <w:hideMark/>
          </w:tcPr>
          <w:p w14:paraId="6361705E"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276" w:type="dxa"/>
            <w:tcBorders>
              <w:top w:val="nil"/>
              <w:left w:val="nil"/>
              <w:bottom w:val="nil"/>
              <w:right w:val="nil"/>
            </w:tcBorders>
            <w:shd w:val="clear" w:color="auto" w:fill="auto"/>
            <w:noWrap/>
            <w:vAlign w:val="bottom"/>
            <w:hideMark/>
          </w:tcPr>
          <w:p w14:paraId="2C20A5FC"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134" w:type="dxa"/>
            <w:tcBorders>
              <w:top w:val="nil"/>
              <w:left w:val="nil"/>
              <w:bottom w:val="nil"/>
              <w:right w:val="nil"/>
            </w:tcBorders>
            <w:shd w:val="clear" w:color="auto" w:fill="auto"/>
            <w:noWrap/>
            <w:vAlign w:val="bottom"/>
            <w:hideMark/>
          </w:tcPr>
          <w:p w14:paraId="7B8C743C"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134" w:type="dxa"/>
            <w:tcBorders>
              <w:top w:val="nil"/>
              <w:left w:val="nil"/>
              <w:bottom w:val="nil"/>
              <w:right w:val="nil"/>
            </w:tcBorders>
            <w:shd w:val="clear" w:color="auto" w:fill="auto"/>
            <w:noWrap/>
            <w:vAlign w:val="bottom"/>
            <w:hideMark/>
          </w:tcPr>
          <w:p w14:paraId="56540AC5" w14:textId="65E28E8A" w:rsidR="000C5941" w:rsidRPr="00B344C3" w:rsidRDefault="00B344C3" w:rsidP="00B344C3">
            <w:pPr>
              <w:jc w:val="right"/>
              <w:rPr>
                <w:color w:val="000000"/>
                <w:sz w:val="18"/>
                <w:szCs w:val="18"/>
                <w:lang w:eastAsia="en-GB"/>
              </w:rPr>
            </w:pPr>
            <w:r w:rsidRPr="00B344C3">
              <w:rPr>
                <w:color w:val="000000"/>
                <w:sz w:val="18"/>
                <w:szCs w:val="18"/>
              </w:rPr>
              <w:t>417,073</w:t>
            </w:r>
          </w:p>
        </w:tc>
        <w:tc>
          <w:tcPr>
            <w:tcW w:w="1417" w:type="dxa"/>
            <w:tcBorders>
              <w:top w:val="nil"/>
              <w:left w:val="nil"/>
              <w:bottom w:val="nil"/>
              <w:right w:val="nil"/>
            </w:tcBorders>
            <w:shd w:val="clear" w:color="auto" w:fill="auto"/>
            <w:noWrap/>
            <w:vAlign w:val="bottom"/>
            <w:hideMark/>
          </w:tcPr>
          <w:p w14:paraId="712E13D6" w14:textId="75F9DC36" w:rsidR="000C5941" w:rsidRPr="00B344C3" w:rsidRDefault="00B344C3" w:rsidP="00B344C3">
            <w:pPr>
              <w:jc w:val="right"/>
              <w:rPr>
                <w:color w:val="000000"/>
                <w:sz w:val="18"/>
                <w:szCs w:val="18"/>
                <w:lang w:eastAsia="en-GB"/>
              </w:rPr>
            </w:pPr>
            <w:r w:rsidRPr="00B344C3">
              <w:rPr>
                <w:color w:val="000000"/>
                <w:sz w:val="18"/>
                <w:szCs w:val="18"/>
                <w:lang w:eastAsia="en-GB"/>
              </w:rPr>
              <w:t>5,715</w:t>
            </w:r>
          </w:p>
        </w:tc>
        <w:tc>
          <w:tcPr>
            <w:tcW w:w="1559" w:type="dxa"/>
            <w:tcBorders>
              <w:top w:val="nil"/>
              <w:left w:val="nil"/>
              <w:bottom w:val="nil"/>
              <w:right w:val="nil"/>
            </w:tcBorders>
            <w:shd w:val="clear" w:color="auto" w:fill="auto"/>
            <w:noWrap/>
            <w:vAlign w:val="bottom"/>
          </w:tcPr>
          <w:p w14:paraId="0FBBE4A4" w14:textId="00C4797A" w:rsidR="000C5941" w:rsidRPr="00B344C3" w:rsidRDefault="00B344C3" w:rsidP="00B344C3">
            <w:pPr>
              <w:jc w:val="right"/>
              <w:rPr>
                <w:sz w:val="18"/>
                <w:szCs w:val="18"/>
                <w:lang w:eastAsia="en-GB"/>
              </w:rPr>
            </w:pPr>
            <w:r w:rsidRPr="00B344C3">
              <w:rPr>
                <w:sz w:val="18"/>
                <w:szCs w:val="18"/>
                <w:lang w:eastAsia="en-GB"/>
              </w:rPr>
              <w:t>(422,788)</w:t>
            </w:r>
          </w:p>
        </w:tc>
        <w:tc>
          <w:tcPr>
            <w:tcW w:w="1560" w:type="dxa"/>
            <w:tcBorders>
              <w:top w:val="nil"/>
              <w:left w:val="nil"/>
              <w:bottom w:val="nil"/>
              <w:right w:val="nil"/>
            </w:tcBorders>
            <w:shd w:val="clear" w:color="auto" w:fill="auto"/>
            <w:noWrap/>
            <w:vAlign w:val="bottom"/>
          </w:tcPr>
          <w:p w14:paraId="363F30A2" w14:textId="0E6B8220" w:rsidR="000C5941" w:rsidRPr="00B344C3" w:rsidRDefault="00B344C3" w:rsidP="00B344C3">
            <w:pPr>
              <w:jc w:val="right"/>
              <w:rPr>
                <w:color w:val="000000"/>
                <w:sz w:val="18"/>
                <w:szCs w:val="18"/>
                <w:lang w:eastAsia="en-GB"/>
              </w:rPr>
            </w:pPr>
            <w:r>
              <w:rPr>
                <w:color w:val="000000"/>
                <w:sz w:val="18"/>
                <w:szCs w:val="18"/>
                <w:lang w:eastAsia="en-GB"/>
              </w:rPr>
              <w:t>9,190,503</w:t>
            </w:r>
          </w:p>
        </w:tc>
      </w:tr>
      <w:tr w:rsidR="000C5941" w:rsidRPr="00B344C3" w14:paraId="7695F1DA" w14:textId="77777777" w:rsidTr="00B344C3">
        <w:trPr>
          <w:trHeight w:val="300"/>
        </w:trPr>
        <w:tc>
          <w:tcPr>
            <w:tcW w:w="3402" w:type="dxa"/>
            <w:tcBorders>
              <w:top w:val="nil"/>
              <w:left w:val="nil"/>
              <w:bottom w:val="nil"/>
              <w:right w:val="nil"/>
            </w:tcBorders>
            <w:shd w:val="clear" w:color="auto" w:fill="auto"/>
            <w:noWrap/>
            <w:vAlign w:val="center"/>
            <w:hideMark/>
          </w:tcPr>
          <w:p w14:paraId="09034161" w14:textId="77777777" w:rsidR="000C5941" w:rsidRPr="00B344C3" w:rsidRDefault="000C5941" w:rsidP="00926896">
            <w:pPr>
              <w:rPr>
                <w:color w:val="000000"/>
                <w:sz w:val="18"/>
                <w:szCs w:val="18"/>
                <w:lang w:eastAsia="en-GB"/>
              </w:rPr>
            </w:pPr>
            <w:r w:rsidRPr="00B344C3">
              <w:rPr>
                <w:color w:val="000000"/>
                <w:sz w:val="18"/>
                <w:szCs w:val="18"/>
                <w:lang w:eastAsia="en-GB"/>
              </w:rPr>
              <w:t>Deposits with banks</w:t>
            </w:r>
          </w:p>
        </w:tc>
        <w:tc>
          <w:tcPr>
            <w:tcW w:w="1418" w:type="dxa"/>
            <w:tcBorders>
              <w:top w:val="nil"/>
              <w:left w:val="nil"/>
              <w:bottom w:val="nil"/>
              <w:right w:val="nil"/>
            </w:tcBorders>
            <w:shd w:val="clear" w:color="auto" w:fill="auto"/>
            <w:noWrap/>
            <w:vAlign w:val="bottom"/>
          </w:tcPr>
          <w:p w14:paraId="5CEFED45" w14:textId="371E1EE8" w:rsidR="000C5941" w:rsidRPr="00B344C3" w:rsidRDefault="00B344C3" w:rsidP="00B344C3">
            <w:pPr>
              <w:jc w:val="right"/>
              <w:rPr>
                <w:color w:val="000000"/>
                <w:sz w:val="18"/>
                <w:szCs w:val="18"/>
                <w:lang w:eastAsia="en-GB"/>
              </w:rPr>
            </w:pPr>
            <w:r>
              <w:rPr>
                <w:color w:val="000000"/>
                <w:sz w:val="18"/>
                <w:szCs w:val="18"/>
                <w:lang w:eastAsia="en-GB"/>
              </w:rPr>
              <w:t>8,836,089</w:t>
            </w:r>
          </w:p>
        </w:tc>
        <w:tc>
          <w:tcPr>
            <w:tcW w:w="1134" w:type="dxa"/>
            <w:tcBorders>
              <w:top w:val="nil"/>
              <w:left w:val="nil"/>
              <w:bottom w:val="nil"/>
              <w:right w:val="nil"/>
            </w:tcBorders>
            <w:shd w:val="clear" w:color="auto" w:fill="auto"/>
            <w:noWrap/>
            <w:vAlign w:val="bottom"/>
            <w:hideMark/>
          </w:tcPr>
          <w:p w14:paraId="7B6E5165"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276" w:type="dxa"/>
            <w:tcBorders>
              <w:top w:val="nil"/>
              <w:left w:val="nil"/>
              <w:bottom w:val="nil"/>
              <w:right w:val="nil"/>
            </w:tcBorders>
            <w:shd w:val="clear" w:color="auto" w:fill="auto"/>
            <w:noWrap/>
            <w:vAlign w:val="bottom"/>
            <w:hideMark/>
          </w:tcPr>
          <w:p w14:paraId="52358E05"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134" w:type="dxa"/>
            <w:tcBorders>
              <w:top w:val="nil"/>
              <w:left w:val="nil"/>
              <w:bottom w:val="nil"/>
              <w:right w:val="nil"/>
            </w:tcBorders>
            <w:shd w:val="clear" w:color="auto" w:fill="auto"/>
            <w:noWrap/>
            <w:vAlign w:val="bottom"/>
            <w:hideMark/>
          </w:tcPr>
          <w:p w14:paraId="6B96393E"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134" w:type="dxa"/>
            <w:tcBorders>
              <w:top w:val="nil"/>
              <w:left w:val="nil"/>
              <w:bottom w:val="nil"/>
              <w:right w:val="nil"/>
            </w:tcBorders>
            <w:shd w:val="clear" w:color="auto" w:fill="auto"/>
            <w:noWrap/>
            <w:vAlign w:val="bottom"/>
            <w:hideMark/>
          </w:tcPr>
          <w:p w14:paraId="7D1F0125"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417" w:type="dxa"/>
            <w:tcBorders>
              <w:top w:val="nil"/>
              <w:left w:val="nil"/>
              <w:bottom w:val="nil"/>
              <w:right w:val="nil"/>
            </w:tcBorders>
            <w:shd w:val="clear" w:color="auto" w:fill="auto"/>
            <w:noWrap/>
            <w:vAlign w:val="bottom"/>
            <w:hideMark/>
          </w:tcPr>
          <w:p w14:paraId="297BF1F0"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559" w:type="dxa"/>
            <w:tcBorders>
              <w:top w:val="nil"/>
              <w:left w:val="nil"/>
              <w:bottom w:val="nil"/>
              <w:right w:val="nil"/>
            </w:tcBorders>
            <w:shd w:val="clear" w:color="auto" w:fill="auto"/>
            <w:noWrap/>
            <w:vAlign w:val="bottom"/>
          </w:tcPr>
          <w:p w14:paraId="12FD43A8" w14:textId="19948639" w:rsidR="000C5941" w:rsidRPr="00B344C3" w:rsidRDefault="00B344C3" w:rsidP="00B344C3">
            <w:pPr>
              <w:jc w:val="right"/>
              <w:rPr>
                <w:color w:val="000000"/>
                <w:sz w:val="18"/>
                <w:szCs w:val="18"/>
                <w:lang w:eastAsia="en-GB"/>
              </w:rPr>
            </w:pPr>
            <w:r>
              <w:rPr>
                <w:color w:val="000000"/>
                <w:sz w:val="18"/>
                <w:szCs w:val="18"/>
                <w:lang w:eastAsia="en-GB"/>
              </w:rPr>
              <w:t>-</w:t>
            </w:r>
          </w:p>
        </w:tc>
        <w:tc>
          <w:tcPr>
            <w:tcW w:w="1560" w:type="dxa"/>
            <w:tcBorders>
              <w:top w:val="nil"/>
              <w:left w:val="nil"/>
              <w:bottom w:val="nil"/>
              <w:right w:val="nil"/>
            </w:tcBorders>
            <w:shd w:val="clear" w:color="auto" w:fill="auto"/>
            <w:noWrap/>
            <w:vAlign w:val="bottom"/>
          </w:tcPr>
          <w:p w14:paraId="191931BD" w14:textId="397C80BE" w:rsidR="000C5941" w:rsidRPr="00B344C3" w:rsidRDefault="00B344C3" w:rsidP="00B344C3">
            <w:pPr>
              <w:jc w:val="right"/>
              <w:rPr>
                <w:color w:val="000000"/>
                <w:sz w:val="18"/>
                <w:szCs w:val="18"/>
                <w:lang w:eastAsia="en-GB"/>
              </w:rPr>
            </w:pPr>
            <w:r>
              <w:rPr>
                <w:color w:val="000000"/>
                <w:sz w:val="18"/>
                <w:szCs w:val="18"/>
                <w:lang w:eastAsia="en-GB"/>
              </w:rPr>
              <w:t>8,836,089</w:t>
            </w:r>
          </w:p>
        </w:tc>
      </w:tr>
      <w:tr w:rsidR="000C5941" w:rsidRPr="00B344C3" w14:paraId="2C9556A2" w14:textId="77777777" w:rsidTr="00B344C3">
        <w:trPr>
          <w:trHeight w:val="300"/>
        </w:trPr>
        <w:tc>
          <w:tcPr>
            <w:tcW w:w="3402" w:type="dxa"/>
            <w:tcBorders>
              <w:top w:val="nil"/>
              <w:left w:val="nil"/>
              <w:bottom w:val="nil"/>
              <w:right w:val="nil"/>
            </w:tcBorders>
            <w:shd w:val="clear" w:color="auto" w:fill="auto"/>
            <w:noWrap/>
            <w:vAlign w:val="center"/>
            <w:hideMark/>
          </w:tcPr>
          <w:p w14:paraId="716C425C" w14:textId="77777777" w:rsidR="000C5941" w:rsidRPr="00B344C3" w:rsidRDefault="000C5941" w:rsidP="00926896">
            <w:pPr>
              <w:rPr>
                <w:color w:val="000000"/>
                <w:sz w:val="18"/>
                <w:szCs w:val="18"/>
                <w:lang w:eastAsia="en-GB"/>
              </w:rPr>
            </w:pPr>
            <w:r w:rsidRPr="00B344C3">
              <w:rPr>
                <w:color w:val="000000"/>
                <w:sz w:val="18"/>
                <w:szCs w:val="18"/>
                <w:lang w:eastAsia="en-GB"/>
              </w:rPr>
              <w:t>Receivables</w:t>
            </w:r>
          </w:p>
        </w:tc>
        <w:tc>
          <w:tcPr>
            <w:tcW w:w="1418" w:type="dxa"/>
            <w:tcBorders>
              <w:top w:val="nil"/>
              <w:left w:val="nil"/>
              <w:bottom w:val="nil"/>
              <w:right w:val="nil"/>
            </w:tcBorders>
            <w:shd w:val="clear" w:color="auto" w:fill="auto"/>
            <w:noWrap/>
            <w:vAlign w:val="bottom"/>
          </w:tcPr>
          <w:p w14:paraId="613AC186" w14:textId="2F8C6057" w:rsidR="000C5941" w:rsidRPr="00B344C3" w:rsidRDefault="00B344C3" w:rsidP="00B344C3">
            <w:pPr>
              <w:jc w:val="right"/>
              <w:rPr>
                <w:color w:val="000000"/>
                <w:sz w:val="18"/>
                <w:szCs w:val="18"/>
                <w:lang w:eastAsia="en-GB"/>
              </w:rPr>
            </w:pPr>
            <w:r>
              <w:rPr>
                <w:color w:val="000000"/>
                <w:sz w:val="18"/>
                <w:szCs w:val="18"/>
                <w:lang w:eastAsia="en-GB"/>
              </w:rPr>
              <w:t>1,295,559</w:t>
            </w:r>
          </w:p>
        </w:tc>
        <w:tc>
          <w:tcPr>
            <w:tcW w:w="1134" w:type="dxa"/>
            <w:tcBorders>
              <w:top w:val="nil"/>
              <w:left w:val="nil"/>
              <w:bottom w:val="nil"/>
              <w:right w:val="nil"/>
            </w:tcBorders>
            <w:shd w:val="clear" w:color="auto" w:fill="auto"/>
            <w:noWrap/>
            <w:vAlign w:val="bottom"/>
            <w:hideMark/>
          </w:tcPr>
          <w:p w14:paraId="261F267F"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276" w:type="dxa"/>
            <w:tcBorders>
              <w:top w:val="nil"/>
              <w:left w:val="nil"/>
              <w:bottom w:val="nil"/>
              <w:right w:val="nil"/>
            </w:tcBorders>
            <w:shd w:val="clear" w:color="auto" w:fill="auto"/>
            <w:noWrap/>
            <w:vAlign w:val="bottom"/>
            <w:hideMark/>
          </w:tcPr>
          <w:p w14:paraId="1414906F"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134" w:type="dxa"/>
            <w:tcBorders>
              <w:top w:val="nil"/>
              <w:left w:val="nil"/>
              <w:bottom w:val="nil"/>
              <w:right w:val="nil"/>
            </w:tcBorders>
            <w:shd w:val="clear" w:color="auto" w:fill="auto"/>
            <w:noWrap/>
            <w:vAlign w:val="bottom"/>
          </w:tcPr>
          <w:p w14:paraId="73F5B1EF" w14:textId="25AB10C4" w:rsidR="000C5941" w:rsidRPr="00B344C3" w:rsidRDefault="00B344C3" w:rsidP="00B344C3">
            <w:pPr>
              <w:jc w:val="right"/>
              <w:rPr>
                <w:color w:val="000000"/>
                <w:sz w:val="18"/>
                <w:szCs w:val="18"/>
                <w:lang w:eastAsia="en-GB"/>
              </w:rPr>
            </w:pPr>
            <w:r>
              <w:rPr>
                <w:color w:val="000000"/>
                <w:sz w:val="18"/>
                <w:szCs w:val="18"/>
                <w:lang w:eastAsia="en-GB"/>
              </w:rPr>
              <w:t>38,119</w:t>
            </w:r>
          </w:p>
        </w:tc>
        <w:tc>
          <w:tcPr>
            <w:tcW w:w="1134" w:type="dxa"/>
            <w:tcBorders>
              <w:top w:val="nil"/>
              <w:left w:val="nil"/>
              <w:bottom w:val="nil"/>
              <w:right w:val="nil"/>
            </w:tcBorders>
            <w:shd w:val="clear" w:color="auto" w:fill="auto"/>
            <w:noWrap/>
            <w:vAlign w:val="bottom"/>
            <w:hideMark/>
          </w:tcPr>
          <w:p w14:paraId="33B82632"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417" w:type="dxa"/>
            <w:tcBorders>
              <w:top w:val="nil"/>
              <w:left w:val="nil"/>
              <w:bottom w:val="nil"/>
              <w:right w:val="nil"/>
            </w:tcBorders>
            <w:shd w:val="clear" w:color="auto" w:fill="auto"/>
            <w:noWrap/>
            <w:vAlign w:val="bottom"/>
            <w:hideMark/>
          </w:tcPr>
          <w:p w14:paraId="3A9E161E"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559" w:type="dxa"/>
            <w:tcBorders>
              <w:top w:val="nil"/>
              <w:left w:val="nil"/>
              <w:bottom w:val="nil"/>
              <w:right w:val="nil"/>
            </w:tcBorders>
            <w:shd w:val="clear" w:color="auto" w:fill="auto"/>
            <w:noWrap/>
            <w:vAlign w:val="bottom"/>
          </w:tcPr>
          <w:p w14:paraId="5DC36173" w14:textId="6EB7AB4C" w:rsidR="000C5941" w:rsidRPr="00B344C3" w:rsidRDefault="00B344C3" w:rsidP="00B344C3">
            <w:pPr>
              <w:jc w:val="right"/>
              <w:rPr>
                <w:color w:val="000000"/>
                <w:sz w:val="18"/>
                <w:szCs w:val="18"/>
                <w:lang w:eastAsia="en-GB"/>
              </w:rPr>
            </w:pPr>
            <w:r>
              <w:rPr>
                <w:color w:val="000000"/>
                <w:sz w:val="18"/>
                <w:szCs w:val="18"/>
                <w:lang w:eastAsia="en-GB"/>
              </w:rPr>
              <w:t>(38,119)</w:t>
            </w:r>
          </w:p>
        </w:tc>
        <w:tc>
          <w:tcPr>
            <w:tcW w:w="1560" w:type="dxa"/>
            <w:tcBorders>
              <w:top w:val="nil"/>
              <w:left w:val="nil"/>
              <w:bottom w:val="nil"/>
              <w:right w:val="nil"/>
            </w:tcBorders>
            <w:shd w:val="clear" w:color="auto" w:fill="auto"/>
            <w:noWrap/>
            <w:vAlign w:val="bottom"/>
          </w:tcPr>
          <w:p w14:paraId="2B7E6FD7" w14:textId="092AF5B7" w:rsidR="000C5941" w:rsidRPr="00B344C3" w:rsidRDefault="00B344C3" w:rsidP="00B344C3">
            <w:pPr>
              <w:jc w:val="right"/>
              <w:rPr>
                <w:color w:val="000000"/>
                <w:sz w:val="18"/>
                <w:szCs w:val="18"/>
                <w:lang w:eastAsia="en-GB"/>
              </w:rPr>
            </w:pPr>
            <w:r>
              <w:rPr>
                <w:color w:val="000000"/>
                <w:sz w:val="18"/>
                <w:szCs w:val="18"/>
                <w:lang w:eastAsia="en-GB"/>
              </w:rPr>
              <w:t>1,259,559</w:t>
            </w:r>
          </w:p>
        </w:tc>
      </w:tr>
      <w:tr w:rsidR="000C5941" w:rsidRPr="00B344C3" w14:paraId="3C9DBFF6" w14:textId="77777777" w:rsidTr="00B344C3">
        <w:trPr>
          <w:trHeight w:val="300"/>
        </w:trPr>
        <w:tc>
          <w:tcPr>
            <w:tcW w:w="3402" w:type="dxa"/>
            <w:tcBorders>
              <w:top w:val="nil"/>
              <w:left w:val="nil"/>
              <w:bottom w:val="nil"/>
              <w:right w:val="nil"/>
            </w:tcBorders>
            <w:shd w:val="clear" w:color="auto" w:fill="auto"/>
            <w:vAlign w:val="center"/>
            <w:hideMark/>
          </w:tcPr>
          <w:p w14:paraId="78296249" w14:textId="77777777" w:rsidR="000C5941" w:rsidRPr="00B344C3" w:rsidRDefault="000C5941" w:rsidP="00926896">
            <w:pPr>
              <w:rPr>
                <w:color w:val="000000"/>
                <w:sz w:val="18"/>
                <w:szCs w:val="18"/>
                <w:lang w:eastAsia="en-GB"/>
              </w:rPr>
            </w:pPr>
            <w:r w:rsidRPr="00B344C3">
              <w:rPr>
                <w:color w:val="000000"/>
                <w:sz w:val="18"/>
                <w:szCs w:val="18"/>
                <w:lang w:eastAsia="en-GB"/>
              </w:rPr>
              <w:t>Reinsurance assets</w:t>
            </w:r>
          </w:p>
        </w:tc>
        <w:tc>
          <w:tcPr>
            <w:tcW w:w="1418" w:type="dxa"/>
            <w:tcBorders>
              <w:top w:val="nil"/>
              <w:left w:val="nil"/>
              <w:bottom w:val="nil"/>
              <w:right w:val="nil"/>
            </w:tcBorders>
            <w:shd w:val="clear" w:color="auto" w:fill="auto"/>
            <w:noWrap/>
            <w:vAlign w:val="bottom"/>
          </w:tcPr>
          <w:p w14:paraId="66AC77C3" w14:textId="3398A0D8" w:rsidR="000C5941" w:rsidRPr="00B344C3" w:rsidRDefault="00B344C3" w:rsidP="00B344C3">
            <w:pPr>
              <w:jc w:val="right"/>
              <w:rPr>
                <w:color w:val="000000"/>
                <w:sz w:val="18"/>
                <w:szCs w:val="18"/>
                <w:lang w:eastAsia="en-GB"/>
              </w:rPr>
            </w:pPr>
            <w:r>
              <w:rPr>
                <w:color w:val="000000"/>
                <w:sz w:val="18"/>
                <w:szCs w:val="18"/>
                <w:lang w:eastAsia="en-GB"/>
              </w:rPr>
              <w:t>1,449,864</w:t>
            </w:r>
          </w:p>
        </w:tc>
        <w:tc>
          <w:tcPr>
            <w:tcW w:w="1134" w:type="dxa"/>
            <w:tcBorders>
              <w:top w:val="nil"/>
              <w:left w:val="nil"/>
              <w:bottom w:val="nil"/>
              <w:right w:val="nil"/>
            </w:tcBorders>
            <w:shd w:val="clear" w:color="auto" w:fill="auto"/>
            <w:noWrap/>
            <w:vAlign w:val="bottom"/>
            <w:hideMark/>
          </w:tcPr>
          <w:p w14:paraId="017B6DC1"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276" w:type="dxa"/>
            <w:tcBorders>
              <w:top w:val="nil"/>
              <w:left w:val="nil"/>
              <w:bottom w:val="nil"/>
              <w:right w:val="nil"/>
            </w:tcBorders>
            <w:shd w:val="clear" w:color="auto" w:fill="auto"/>
            <w:noWrap/>
            <w:vAlign w:val="bottom"/>
            <w:hideMark/>
          </w:tcPr>
          <w:p w14:paraId="772E2687"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134" w:type="dxa"/>
            <w:tcBorders>
              <w:top w:val="nil"/>
              <w:left w:val="nil"/>
              <w:bottom w:val="nil"/>
              <w:right w:val="nil"/>
            </w:tcBorders>
            <w:shd w:val="clear" w:color="auto" w:fill="auto"/>
            <w:noWrap/>
            <w:vAlign w:val="bottom"/>
          </w:tcPr>
          <w:p w14:paraId="408909B2" w14:textId="015F5205" w:rsidR="000C5941" w:rsidRPr="00B344C3" w:rsidRDefault="00B344C3" w:rsidP="00B344C3">
            <w:pPr>
              <w:jc w:val="right"/>
              <w:rPr>
                <w:color w:val="000000"/>
                <w:sz w:val="18"/>
                <w:szCs w:val="18"/>
                <w:lang w:eastAsia="en-GB"/>
              </w:rPr>
            </w:pPr>
            <w:r>
              <w:rPr>
                <w:color w:val="000000"/>
                <w:sz w:val="18"/>
                <w:szCs w:val="18"/>
                <w:lang w:eastAsia="en-GB"/>
              </w:rPr>
              <w:t>-</w:t>
            </w:r>
          </w:p>
        </w:tc>
        <w:tc>
          <w:tcPr>
            <w:tcW w:w="1134" w:type="dxa"/>
            <w:tcBorders>
              <w:top w:val="nil"/>
              <w:left w:val="nil"/>
              <w:bottom w:val="nil"/>
              <w:right w:val="nil"/>
            </w:tcBorders>
            <w:shd w:val="clear" w:color="auto" w:fill="auto"/>
            <w:noWrap/>
            <w:vAlign w:val="bottom"/>
            <w:hideMark/>
          </w:tcPr>
          <w:p w14:paraId="6445D265"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417" w:type="dxa"/>
            <w:tcBorders>
              <w:top w:val="nil"/>
              <w:left w:val="nil"/>
              <w:bottom w:val="nil"/>
              <w:right w:val="nil"/>
            </w:tcBorders>
            <w:shd w:val="clear" w:color="auto" w:fill="auto"/>
            <w:noWrap/>
            <w:vAlign w:val="bottom"/>
            <w:hideMark/>
          </w:tcPr>
          <w:p w14:paraId="65A559A3" w14:textId="77777777" w:rsidR="000C5941" w:rsidRPr="00B344C3" w:rsidRDefault="000C5941" w:rsidP="00B344C3">
            <w:pPr>
              <w:jc w:val="right"/>
              <w:rPr>
                <w:color w:val="000000"/>
                <w:sz w:val="18"/>
                <w:szCs w:val="18"/>
                <w:lang w:eastAsia="en-GB"/>
              </w:rPr>
            </w:pPr>
            <w:r w:rsidRPr="00B344C3">
              <w:rPr>
                <w:color w:val="000000"/>
                <w:sz w:val="18"/>
                <w:szCs w:val="18"/>
              </w:rPr>
              <w:t>-</w:t>
            </w:r>
          </w:p>
        </w:tc>
        <w:tc>
          <w:tcPr>
            <w:tcW w:w="1559" w:type="dxa"/>
            <w:tcBorders>
              <w:top w:val="nil"/>
              <w:left w:val="nil"/>
              <w:bottom w:val="nil"/>
              <w:right w:val="nil"/>
            </w:tcBorders>
            <w:shd w:val="clear" w:color="auto" w:fill="auto"/>
            <w:noWrap/>
            <w:vAlign w:val="bottom"/>
          </w:tcPr>
          <w:p w14:paraId="136CA01A" w14:textId="40DA2B3C" w:rsidR="000C5941" w:rsidRPr="00B344C3" w:rsidRDefault="00B344C3" w:rsidP="00B344C3">
            <w:pPr>
              <w:jc w:val="right"/>
              <w:rPr>
                <w:color w:val="000000"/>
                <w:sz w:val="18"/>
                <w:szCs w:val="18"/>
                <w:lang w:eastAsia="en-GB"/>
              </w:rPr>
            </w:pPr>
            <w:r>
              <w:rPr>
                <w:color w:val="000000"/>
                <w:sz w:val="18"/>
                <w:szCs w:val="18"/>
                <w:lang w:eastAsia="en-GB"/>
              </w:rPr>
              <w:t>-</w:t>
            </w:r>
          </w:p>
        </w:tc>
        <w:tc>
          <w:tcPr>
            <w:tcW w:w="1560" w:type="dxa"/>
            <w:tcBorders>
              <w:top w:val="nil"/>
              <w:left w:val="nil"/>
              <w:bottom w:val="nil"/>
              <w:right w:val="nil"/>
            </w:tcBorders>
            <w:shd w:val="clear" w:color="auto" w:fill="auto"/>
            <w:noWrap/>
            <w:vAlign w:val="bottom"/>
          </w:tcPr>
          <w:p w14:paraId="4946CFC6" w14:textId="54FEA4F5" w:rsidR="000C5941" w:rsidRPr="00B344C3" w:rsidRDefault="00B344C3" w:rsidP="00B344C3">
            <w:pPr>
              <w:jc w:val="right"/>
              <w:rPr>
                <w:color w:val="000000"/>
                <w:sz w:val="18"/>
                <w:szCs w:val="18"/>
                <w:lang w:eastAsia="en-GB"/>
              </w:rPr>
            </w:pPr>
            <w:r>
              <w:rPr>
                <w:color w:val="000000"/>
                <w:sz w:val="18"/>
                <w:szCs w:val="18"/>
                <w:lang w:eastAsia="en-GB"/>
              </w:rPr>
              <w:t>1,449,864</w:t>
            </w:r>
          </w:p>
        </w:tc>
      </w:tr>
      <w:tr w:rsidR="000C5941" w:rsidRPr="00B344C3" w14:paraId="67009D23" w14:textId="77777777" w:rsidTr="00B344C3">
        <w:trPr>
          <w:trHeight w:val="315"/>
        </w:trPr>
        <w:tc>
          <w:tcPr>
            <w:tcW w:w="3402" w:type="dxa"/>
            <w:tcBorders>
              <w:top w:val="single" w:sz="4" w:space="0" w:color="auto"/>
              <w:left w:val="nil"/>
              <w:bottom w:val="double" w:sz="6" w:space="0" w:color="auto"/>
              <w:right w:val="nil"/>
            </w:tcBorders>
            <w:shd w:val="clear" w:color="auto" w:fill="auto"/>
            <w:noWrap/>
            <w:vAlign w:val="bottom"/>
            <w:hideMark/>
          </w:tcPr>
          <w:p w14:paraId="0ADA22D4" w14:textId="77777777" w:rsidR="000C5941" w:rsidRPr="00B344C3" w:rsidRDefault="000C5941" w:rsidP="00926896">
            <w:pPr>
              <w:rPr>
                <w:b/>
                <w:bCs/>
                <w:color w:val="000000"/>
                <w:sz w:val="18"/>
                <w:szCs w:val="18"/>
                <w:lang w:eastAsia="en-GB"/>
              </w:rPr>
            </w:pPr>
            <w:r w:rsidRPr="00B344C3">
              <w:rPr>
                <w:b/>
                <w:bCs/>
                <w:color w:val="000000"/>
                <w:sz w:val="18"/>
                <w:szCs w:val="18"/>
                <w:lang w:eastAsia="en-GB"/>
              </w:rPr>
              <w:t>Total financial assets</w:t>
            </w:r>
          </w:p>
        </w:tc>
        <w:tc>
          <w:tcPr>
            <w:tcW w:w="1418" w:type="dxa"/>
            <w:tcBorders>
              <w:top w:val="single" w:sz="4" w:space="0" w:color="auto"/>
              <w:left w:val="nil"/>
              <w:bottom w:val="double" w:sz="6" w:space="0" w:color="auto"/>
              <w:right w:val="nil"/>
            </w:tcBorders>
            <w:shd w:val="clear" w:color="auto" w:fill="auto"/>
            <w:noWrap/>
            <w:vAlign w:val="bottom"/>
          </w:tcPr>
          <w:p w14:paraId="6D76C60D" w14:textId="7DF09909" w:rsidR="000C5941" w:rsidRPr="00B344C3" w:rsidRDefault="00B344C3" w:rsidP="00B344C3">
            <w:pPr>
              <w:jc w:val="right"/>
              <w:rPr>
                <w:b/>
                <w:bCs/>
                <w:color w:val="000000"/>
                <w:sz w:val="18"/>
                <w:szCs w:val="18"/>
                <w:lang w:eastAsia="en-GB"/>
              </w:rPr>
            </w:pPr>
            <w:r>
              <w:rPr>
                <w:b/>
                <w:bCs/>
                <w:color w:val="000000"/>
                <w:sz w:val="18"/>
                <w:szCs w:val="18"/>
                <w:lang w:eastAsia="en-GB"/>
              </w:rPr>
              <w:t>20,772,015</w:t>
            </w:r>
          </w:p>
        </w:tc>
        <w:tc>
          <w:tcPr>
            <w:tcW w:w="1134" w:type="dxa"/>
            <w:tcBorders>
              <w:top w:val="single" w:sz="4" w:space="0" w:color="auto"/>
              <w:left w:val="nil"/>
              <w:bottom w:val="double" w:sz="6" w:space="0" w:color="auto"/>
              <w:right w:val="nil"/>
            </w:tcBorders>
            <w:shd w:val="clear" w:color="auto" w:fill="auto"/>
            <w:noWrap/>
            <w:vAlign w:val="bottom"/>
            <w:hideMark/>
          </w:tcPr>
          <w:p w14:paraId="0098D2EB" w14:textId="77777777" w:rsidR="000C5941" w:rsidRPr="00B344C3" w:rsidRDefault="000C5941" w:rsidP="00B344C3">
            <w:pPr>
              <w:jc w:val="right"/>
              <w:rPr>
                <w:b/>
                <w:bCs/>
                <w:color w:val="000000"/>
                <w:sz w:val="18"/>
                <w:szCs w:val="18"/>
                <w:lang w:eastAsia="en-GB"/>
              </w:rPr>
            </w:pPr>
            <w:r w:rsidRPr="00B344C3">
              <w:rPr>
                <w:b/>
                <w:bCs/>
                <w:color w:val="000000"/>
                <w:sz w:val="18"/>
                <w:szCs w:val="18"/>
              </w:rPr>
              <w:t>-</w:t>
            </w:r>
          </w:p>
        </w:tc>
        <w:tc>
          <w:tcPr>
            <w:tcW w:w="1276" w:type="dxa"/>
            <w:tcBorders>
              <w:top w:val="single" w:sz="4" w:space="0" w:color="auto"/>
              <w:left w:val="nil"/>
              <w:bottom w:val="double" w:sz="6" w:space="0" w:color="auto"/>
              <w:right w:val="nil"/>
            </w:tcBorders>
            <w:shd w:val="clear" w:color="auto" w:fill="auto"/>
            <w:noWrap/>
            <w:vAlign w:val="bottom"/>
            <w:hideMark/>
          </w:tcPr>
          <w:p w14:paraId="01E02DF5" w14:textId="77777777" w:rsidR="000C5941" w:rsidRPr="00B344C3" w:rsidRDefault="000C5941" w:rsidP="00B344C3">
            <w:pPr>
              <w:jc w:val="right"/>
              <w:rPr>
                <w:b/>
                <w:bCs/>
                <w:color w:val="000000"/>
                <w:sz w:val="18"/>
                <w:szCs w:val="18"/>
                <w:lang w:eastAsia="en-GB"/>
              </w:rPr>
            </w:pPr>
            <w:r w:rsidRPr="00B344C3">
              <w:rPr>
                <w:b/>
                <w:bCs/>
                <w:color w:val="000000"/>
                <w:sz w:val="18"/>
                <w:szCs w:val="18"/>
              </w:rPr>
              <w:t>-</w:t>
            </w:r>
          </w:p>
        </w:tc>
        <w:tc>
          <w:tcPr>
            <w:tcW w:w="1134" w:type="dxa"/>
            <w:tcBorders>
              <w:top w:val="single" w:sz="4" w:space="0" w:color="auto"/>
              <w:left w:val="nil"/>
              <w:bottom w:val="double" w:sz="6" w:space="0" w:color="auto"/>
              <w:right w:val="nil"/>
            </w:tcBorders>
            <w:shd w:val="clear" w:color="auto" w:fill="auto"/>
            <w:noWrap/>
            <w:vAlign w:val="bottom"/>
          </w:tcPr>
          <w:p w14:paraId="104FC668" w14:textId="28DB0E7C" w:rsidR="000C5941" w:rsidRPr="00B344C3" w:rsidRDefault="00B344C3" w:rsidP="00B344C3">
            <w:pPr>
              <w:jc w:val="right"/>
              <w:rPr>
                <w:b/>
                <w:bCs/>
                <w:color w:val="000000"/>
                <w:sz w:val="18"/>
                <w:szCs w:val="18"/>
                <w:lang w:eastAsia="en-GB"/>
              </w:rPr>
            </w:pPr>
            <w:r>
              <w:rPr>
                <w:b/>
                <w:bCs/>
                <w:color w:val="000000"/>
                <w:sz w:val="18"/>
                <w:szCs w:val="18"/>
                <w:lang w:eastAsia="en-GB"/>
              </w:rPr>
              <w:t>38,119</w:t>
            </w:r>
          </w:p>
        </w:tc>
        <w:tc>
          <w:tcPr>
            <w:tcW w:w="1134" w:type="dxa"/>
            <w:tcBorders>
              <w:top w:val="single" w:sz="4" w:space="0" w:color="auto"/>
              <w:left w:val="nil"/>
              <w:bottom w:val="double" w:sz="6" w:space="0" w:color="auto"/>
              <w:right w:val="nil"/>
            </w:tcBorders>
            <w:shd w:val="clear" w:color="auto" w:fill="auto"/>
            <w:noWrap/>
            <w:vAlign w:val="bottom"/>
            <w:hideMark/>
          </w:tcPr>
          <w:p w14:paraId="5F7B3DCF" w14:textId="08E2083C" w:rsidR="000C5941" w:rsidRPr="00B344C3" w:rsidRDefault="00B344C3" w:rsidP="00B344C3">
            <w:pPr>
              <w:jc w:val="right"/>
              <w:rPr>
                <w:b/>
                <w:bCs/>
                <w:color w:val="000000"/>
                <w:sz w:val="18"/>
                <w:szCs w:val="18"/>
                <w:lang w:eastAsia="en-GB"/>
              </w:rPr>
            </w:pPr>
            <w:r>
              <w:rPr>
                <w:b/>
                <w:bCs/>
                <w:color w:val="000000"/>
                <w:sz w:val="18"/>
                <w:szCs w:val="18"/>
              </w:rPr>
              <w:t>417,073</w:t>
            </w:r>
          </w:p>
        </w:tc>
        <w:tc>
          <w:tcPr>
            <w:tcW w:w="1417" w:type="dxa"/>
            <w:tcBorders>
              <w:top w:val="single" w:sz="4" w:space="0" w:color="auto"/>
              <w:left w:val="nil"/>
              <w:bottom w:val="double" w:sz="6" w:space="0" w:color="auto"/>
              <w:right w:val="nil"/>
            </w:tcBorders>
            <w:shd w:val="clear" w:color="auto" w:fill="auto"/>
            <w:noWrap/>
            <w:vAlign w:val="bottom"/>
            <w:hideMark/>
          </w:tcPr>
          <w:p w14:paraId="15FF1E55" w14:textId="78377256" w:rsidR="000C5941" w:rsidRPr="00B344C3" w:rsidRDefault="00B344C3" w:rsidP="00B344C3">
            <w:pPr>
              <w:jc w:val="right"/>
              <w:rPr>
                <w:b/>
                <w:bCs/>
                <w:color w:val="000000"/>
                <w:sz w:val="18"/>
                <w:szCs w:val="18"/>
                <w:lang w:eastAsia="en-GB"/>
              </w:rPr>
            </w:pPr>
            <w:r>
              <w:rPr>
                <w:b/>
                <w:bCs/>
                <w:color w:val="000000"/>
                <w:sz w:val="18"/>
                <w:szCs w:val="18"/>
              </w:rPr>
              <w:t>5,715</w:t>
            </w:r>
          </w:p>
        </w:tc>
        <w:tc>
          <w:tcPr>
            <w:tcW w:w="1559" w:type="dxa"/>
            <w:tcBorders>
              <w:top w:val="single" w:sz="4" w:space="0" w:color="auto"/>
              <w:left w:val="nil"/>
              <w:bottom w:val="double" w:sz="6" w:space="0" w:color="auto"/>
              <w:right w:val="nil"/>
            </w:tcBorders>
            <w:shd w:val="clear" w:color="auto" w:fill="auto"/>
            <w:noWrap/>
            <w:vAlign w:val="bottom"/>
          </w:tcPr>
          <w:p w14:paraId="773B62DD" w14:textId="6D05BB95" w:rsidR="000C5941" w:rsidRPr="00B344C3" w:rsidRDefault="00B344C3" w:rsidP="00B344C3">
            <w:pPr>
              <w:jc w:val="right"/>
              <w:rPr>
                <w:b/>
                <w:bCs/>
                <w:color w:val="000000"/>
                <w:sz w:val="18"/>
                <w:szCs w:val="18"/>
                <w:lang w:eastAsia="en-GB"/>
              </w:rPr>
            </w:pPr>
            <w:r>
              <w:rPr>
                <w:b/>
                <w:bCs/>
                <w:color w:val="000000"/>
                <w:sz w:val="18"/>
                <w:szCs w:val="18"/>
                <w:lang w:eastAsia="en-GB"/>
              </w:rPr>
              <w:t>(460,907)</w:t>
            </w:r>
          </w:p>
        </w:tc>
        <w:tc>
          <w:tcPr>
            <w:tcW w:w="1560" w:type="dxa"/>
            <w:tcBorders>
              <w:top w:val="single" w:sz="4" w:space="0" w:color="auto"/>
              <w:left w:val="nil"/>
              <w:bottom w:val="double" w:sz="6" w:space="0" w:color="auto"/>
              <w:right w:val="nil"/>
            </w:tcBorders>
            <w:shd w:val="clear" w:color="auto" w:fill="auto"/>
            <w:noWrap/>
            <w:vAlign w:val="bottom"/>
          </w:tcPr>
          <w:p w14:paraId="3C4CBD22" w14:textId="11C58FBF" w:rsidR="000C5941" w:rsidRPr="00B344C3" w:rsidRDefault="00B344C3" w:rsidP="00B344C3">
            <w:pPr>
              <w:jc w:val="right"/>
              <w:rPr>
                <w:b/>
                <w:bCs/>
                <w:color w:val="000000"/>
                <w:sz w:val="18"/>
                <w:szCs w:val="18"/>
                <w:lang w:eastAsia="en-GB"/>
              </w:rPr>
            </w:pPr>
            <w:r>
              <w:rPr>
                <w:b/>
                <w:bCs/>
                <w:color w:val="000000"/>
                <w:sz w:val="18"/>
                <w:szCs w:val="18"/>
                <w:lang w:eastAsia="en-GB"/>
              </w:rPr>
              <w:t>20,772,015</w:t>
            </w:r>
          </w:p>
        </w:tc>
      </w:tr>
    </w:tbl>
    <w:p w14:paraId="722FF5C7" w14:textId="77777777" w:rsidR="000C5941" w:rsidRDefault="000C5941" w:rsidP="000C5941">
      <w:pPr>
        <w:spacing w:before="120" w:after="120"/>
        <w:rPr>
          <w:sz w:val="18"/>
          <w:szCs w:val="18"/>
        </w:rPr>
      </w:pPr>
    </w:p>
    <w:p w14:paraId="126C7D66" w14:textId="2CB09FEC" w:rsidR="000C5941" w:rsidRDefault="000C5941" w:rsidP="000C5941">
      <w:pPr>
        <w:spacing w:before="120" w:after="120"/>
        <w:rPr>
          <w:sz w:val="18"/>
          <w:szCs w:val="18"/>
        </w:rPr>
      </w:pPr>
      <w:r>
        <w:rPr>
          <w:sz w:val="18"/>
          <w:szCs w:val="18"/>
        </w:rPr>
        <w:t>Ageing analysis of not impaired and impaired financial assets as at 31 December 2018:</w:t>
      </w:r>
    </w:p>
    <w:p w14:paraId="3939984C" w14:textId="719468EF" w:rsidR="000C5941" w:rsidRDefault="000C5941" w:rsidP="00FE53E7">
      <w:pPr>
        <w:spacing w:before="120" w:after="120"/>
        <w:rPr>
          <w:sz w:val="18"/>
          <w:szCs w:val="18"/>
        </w:rPr>
      </w:pPr>
    </w:p>
    <w:tbl>
      <w:tblPr>
        <w:tblW w:w="14034" w:type="dxa"/>
        <w:tblLayout w:type="fixed"/>
        <w:tblLook w:val="04A0" w:firstRow="1" w:lastRow="0" w:firstColumn="1" w:lastColumn="0" w:noHBand="0" w:noVBand="1"/>
      </w:tblPr>
      <w:tblGrid>
        <w:gridCol w:w="3402"/>
        <w:gridCol w:w="1418"/>
        <w:gridCol w:w="1134"/>
        <w:gridCol w:w="1276"/>
        <w:gridCol w:w="1134"/>
        <w:gridCol w:w="1134"/>
        <w:gridCol w:w="1417"/>
        <w:gridCol w:w="1559"/>
        <w:gridCol w:w="1560"/>
      </w:tblGrid>
      <w:tr w:rsidR="000C5941" w:rsidRPr="000C5941" w14:paraId="552C55B9" w14:textId="77777777" w:rsidTr="00926896">
        <w:trPr>
          <w:trHeight w:val="300"/>
        </w:trPr>
        <w:tc>
          <w:tcPr>
            <w:tcW w:w="3402" w:type="dxa"/>
            <w:tcBorders>
              <w:top w:val="nil"/>
              <w:left w:val="nil"/>
              <w:bottom w:val="nil"/>
              <w:right w:val="nil"/>
            </w:tcBorders>
            <w:shd w:val="clear" w:color="auto" w:fill="auto"/>
            <w:noWrap/>
            <w:vAlign w:val="bottom"/>
            <w:hideMark/>
          </w:tcPr>
          <w:p w14:paraId="0DF89781" w14:textId="77777777" w:rsidR="000C5941" w:rsidRPr="000C5941" w:rsidRDefault="000C5941" w:rsidP="00926896">
            <w:pPr>
              <w:rPr>
                <w:sz w:val="18"/>
                <w:szCs w:val="18"/>
                <w:lang w:eastAsia="en-GB"/>
              </w:rPr>
            </w:pPr>
          </w:p>
        </w:tc>
        <w:tc>
          <w:tcPr>
            <w:tcW w:w="1418" w:type="dxa"/>
            <w:tcBorders>
              <w:top w:val="nil"/>
              <w:left w:val="nil"/>
              <w:bottom w:val="nil"/>
              <w:right w:val="nil"/>
            </w:tcBorders>
            <w:shd w:val="clear" w:color="auto" w:fill="auto"/>
            <w:noWrap/>
            <w:vAlign w:val="bottom"/>
            <w:hideMark/>
          </w:tcPr>
          <w:p w14:paraId="14D8ECDC" w14:textId="77777777" w:rsidR="000C5941" w:rsidRPr="000C5941" w:rsidRDefault="000C5941" w:rsidP="00926896">
            <w:pPr>
              <w:rPr>
                <w:sz w:val="18"/>
                <w:szCs w:val="18"/>
                <w:lang w:eastAsia="en-GB"/>
              </w:rPr>
            </w:pPr>
          </w:p>
        </w:tc>
        <w:tc>
          <w:tcPr>
            <w:tcW w:w="1134" w:type="dxa"/>
            <w:tcBorders>
              <w:top w:val="nil"/>
              <w:left w:val="nil"/>
              <w:bottom w:val="single" w:sz="4" w:space="0" w:color="auto"/>
              <w:right w:val="nil"/>
            </w:tcBorders>
            <w:shd w:val="clear" w:color="auto" w:fill="auto"/>
            <w:noWrap/>
            <w:vAlign w:val="bottom"/>
            <w:hideMark/>
          </w:tcPr>
          <w:p w14:paraId="610361DA" w14:textId="77777777" w:rsidR="000C5941" w:rsidRPr="000C5941" w:rsidRDefault="000C5941" w:rsidP="00926896">
            <w:pPr>
              <w:rPr>
                <w:color w:val="000000"/>
                <w:sz w:val="18"/>
                <w:szCs w:val="18"/>
                <w:lang w:eastAsia="en-GB"/>
              </w:rPr>
            </w:pPr>
            <w:r w:rsidRPr="000C5941">
              <w:rPr>
                <w:color w:val="000000"/>
                <w:sz w:val="18"/>
                <w:szCs w:val="18"/>
                <w:lang w:eastAsia="en-GB"/>
              </w:rPr>
              <w:t> </w:t>
            </w:r>
          </w:p>
        </w:tc>
        <w:tc>
          <w:tcPr>
            <w:tcW w:w="2410" w:type="dxa"/>
            <w:gridSpan w:val="2"/>
            <w:tcBorders>
              <w:top w:val="nil"/>
              <w:left w:val="nil"/>
              <w:bottom w:val="single" w:sz="4" w:space="0" w:color="auto"/>
              <w:right w:val="nil"/>
            </w:tcBorders>
            <w:shd w:val="clear" w:color="auto" w:fill="auto"/>
            <w:noWrap/>
            <w:vAlign w:val="bottom"/>
            <w:hideMark/>
          </w:tcPr>
          <w:p w14:paraId="59CDCF4C" w14:textId="77777777" w:rsidR="000C5941" w:rsidRPr="000C5941" w:rsidRDefault="000C5941" w:rsidP="00926896">
            <w:pPr>
              <w:rPr>
                <w:b/>
                <w:color w:val="000000"/>
                <w:sz w:val="18"/>
                <w:szCs w:val="18"/>
                <w:lang w:eastAsia="en-GB"/>
              </w:rPr>
            </w:pPr>
            <w:r w:rsidRPr="000C5941">
              <w:rPr>
                <w:b/>
                <w:color w:val="000000"/>
                <w:sz w:val="18"/>
                <w:szCs w:val="18"/>
                <w:lang w:eastAsia="en-GB"/>
              </w:rPr>
              <w:t>Impaired financial assets</w:t>
            </w:r>
          </w:p>
        </w:tc>
        <w:tc>
          <w:tcPr>
            <w:tcW w:w="1134" w:type="dxa"/>
            <w:tcBorders>
              <w:top w:val="nil"/>
              <w:left w:val="nil"/>
              <w:bottom w:val="single" w:sz="4" w:space="0" w:color="auto"/>
              <w:right w:val="nil"/>
            </w:tcBorders>
            <w:shd w:val="clear" w:color="auto" w:fill="auto"/>
            <w:noWrap/>
            <w:vAlign w:val="bottom"/>
            <w:hideMark/>
          </w:tcPr>
          <w:p w14:paraId="47966E0D" w14:textId="77777777" w:rsidR="000C5941" w:rsidRPr="000C5941" w:rsidRDefault="000C5941" w:rsidP="00926896">
            <w:pPr>
              <w:rPr>
                <w:color w:val="000000"/>
                <w:sz w:val="18"/>
                <w:szCs w:val="18"/>
                <w:lang w:eastAsia="en-GB"/>
              </w:rPr>
            </w:pPr>
            <w:r w:rsidRPr="000C5941">
              <w:rPr>
                <w:color w:val="000000"/>
                <w:sz w:val="18"/>
                <w:szCs w:val="18"/>
                <w:lang w:eastAsia="en-GB"/>
              </w:rPr>
              <w:t> </w:t>
            </w:r>
          </w:p>
        </w:tc>
        <w:tc>
          <w:tcPr>
            <w:tcW w:w="1417" w:type="dxa"/>
            <w:tcBorders>
              <w:top w:val="nil"/>
              <w:left w:val="nil"/>
              <w:bottom w:val="nil"/>
              <w:right w:val="nil"/>
            </w:tcBorders>
            <w:shd w:val="clear" w:color="auto" w:fill="auto"/>
            <w:noWrap/>
            <w:vAlign w:val="bottom"/>
            <w:hideMark/>
          </w:tcPr>
          <w:p w14:paraId="7108C196" w14:textId="77777777" w:rsidR="000C5941" w:rsidRPr="000C5941" w:rsidRDefault="000C5941" w:rsidP="00926896">
            <w:pPr>
              <w:rPr>
                <w:color w:val="000000"/>
                <w:sz w:val="18"/>
                <w:szCs w:val="18"/>
                <w:lang w:eastAsia="en-GB"/>
              </w:rPr>
            </w:pPr>
          </w:p>
        </w:tc>
        <w:tc>
          <w:tcPr>
            <w:tcW w:w="1559" w:type="dxa"/>
            <w:tcBorders>
              <w:top w:val="nil"/>
              <w:left w:val="nil"/>
              <w:bottom w:val="nil"/>
              <w:right w:val="nil"/>
            </w:tcBorders>
            <w:shd w:val="clear" w:color="auto" w:fill="auto"/>
            <w:noWrap/>
            <w:vAlign w:val="bottom"/>
            <w:hideMark/>
          </w:tcPr>
          <w:p w14:paraId="77F781AA" w14:textId="77777777" w:rsidR="000C5941" w:rsidRPr="000C5941" w:rsidRDefault="000C5941" w:rsidP="00926896">
            <w:pPr>
              <w:rPr>
                <w:sz w:val="18"/>
                <w:szCs w:val="18"/>
                <w:lang w:eastAsia="en-GB"/>
              </w:rPr>
            </w:pPr>
          </w:p>
        </w:tc>
        <w:tc>
          <w:tcPr>
            <w:tcW w:w="1560" w:type="dxa"/>
            <w:tcBorders>
              <w:top w:val="nil"/>
              <w:left w:val="nil"/>
              <w:bottom w:val="nil"/>
              <w:right w:val="nil"/>
            </w:tcBorders>
            <w:shd w:val="clear" w:color="auto" w:fill="auto"/>
            <w:noWrap/>
            <w:vAlign w:val="bottom"/>
            <w:hideMark/>
          </w:tcPr>
          <w:p w14:paraId="6D363F6E" w14:textId="77777777" w:rsidR="000C5941" w:rsidRPr="000C5941" w:rsidRDefault="000C5941" w:rsidP="00926896">
            <w:pPr>
              <w:rPr>
                <w:sz w:val="18"/>
                <w:szCs w:val="18"/>
                <w:lang w:eastAsia="en-GB"/>
              </w:rPr>
            </w:pPr>
          </w:p>
        </w:tc>
      </w:tr>
      <w:tr w:rsidR="000C5941" w:rsidRPr="000C5941" w14:paraId="49B12EC4" w14:textId="77777777" w:rsidTr="00926896">
        <w:trPr>
          <w:trHeight w:val="900"/>
        </w:trPr>
        <w:tc>
          <w:tcPr>
            <w:tcW w:w="3402" w:type="dxa"/>
            <w:tcBorders>
              <w:top w:val="nil"/>
              <w:left w:val="nil"/>
              <w:bottom w:val="nil"/>
              <w:right w:val="nil"/>
            </w:tcBorders>
            <w:shd w:val="clear" w:color="auto" w:fill="auto"/>
            <w:noWrap/>
            <w:vAlign w:val="bottom"/>
            <w:hideMark/>
          </w:tcPr>
          <w:p w14:paraId="20E1704D" w14:textId="77777777" w:rsidR="000C5941" w:rsidRPr="000C5941" w:rsidRDefault="000C5941" w:rsidP="00926896">
            <w:pPr>
              <w:rPr>
                <w:sz w:val="18"/>
                <w:szCs w:val="18"/>
                <w:lang w:eastAsia="en-GB"/>
              </w:rPr>
            </w:pPr>
          </w:p>
        </w:tc>
        <w:tc>
          <w:tcPr>
            <w:tcW w:w="1418" w:type="dxa"/>
            <w:tcBorders>
              <w:top w:val="nil"/>
              <w:left w:val="nil"/>
              <w:bottom w:val="single" w:sz="4" w:space="0" w:color="auto"/>
              <w:right w:val="nil"/>
            </w:tcBorders>
            <w:shd w:val="clear" w:color="auto" w:fill="auto"/>
            <w:vAlign w:val="bottom"/>
            <w:hideMark/>
          </w:tcPr>
          <w:p w14:paraId="039E0880"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Not impaired</w:t>
            </w:r>
          </w:p>
        </w:tc>
        <w:tc>
          <w:tcPr>
            <w:tcW w:w="1134" w:type="dxa"/>
            <w:tcBorders>
              <w:top w:val="nil"/>
              <w:left w:val="nil"/>
              <w:bottom w:val="single" w:sz="4" w:space="0" w:color="auto"/>
              <w:right w:val="nil"/>
            </w:tcBorders>
            <w:shd w:val="clear" w:color="auto" w:fill="auto"/>
            <w:vAlign w:val="bottom"/>
            <w:hideMark/>
          </w:tcPr>
          <w:p w14:paraId="60B8D7C3"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 xml:space="preserve"> Less than </w:t>
            </w:r>
            <w:proofErr w:type="gramStart"/>
            <w:r w:rsidRPr="000C5941">
              <w:rPr>
                <w:b/>
                <w:bCs/>
                <w:color w:val="000000"/>
                <w:sz w:val="18"/>
                <w:szCs w:val="18"/>
                <w:lang w:eastAsia="en-GB"/>
              </w:rPr>
              <w:t>1 month</w:t>
            </w:r>
            <w:proofErr w:type="gramEnd"/>
            <w:r w:rsidRPr="000C5941">
              <w:rPr>
                <w:b/>
                <w:bCs/>
                <w:color w:val="000000"/>
                <w:sz w:val="18"/>
                <w:szCs w:val="18"/>
                <w:lang w:eastAsia="en-GB"/>
              </w:rPr>
              <w:t xml:space="preserve"> overdue</w:t>
            </w:r>
          </w:p>
        </w:tc>
        <w:tc>
          <w:tcPr>
            <w:tcW w:w="1276" w:type="dxa"/>
            <w:tcBorders>
              <w:top w:val="nil"/>
              <w:left w:val="nil"/>
              <w:bottom w:val="single" w:sz="4" w:space="0" w:color="auto"/>
              <w:right w:val="nil"/>
            </w:tcBorders>
            <w:shd w:val="clear" w:color="auto" w:fill="auto"/>
            <w:vAlign w:val="bottom"/>
            <w:hideMark/>
          </w:tcPr>
          <w:p w14:paraId="2E3A35B3"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From 1 to 6 months overdue</w:t>
            </w:r>
          </w:p>
        </w:tc>
        <w:tc>
          <w:tcPr>
            <w:tcW w:w="1134" w:type="dxa"/>
            <w:tcBorders>
              <w:top w:val="nil"/>
              <w:left w:val="nil"/>
              <w:bottom w:val="single" w:sz="4" w:space="0" w:color="auto"/>
              <w:right w:val="nil"/>
            </w:tcBorders>
            <w:shd w:val="clear" w:color="auto" w:fill="auto"/>
            <w:vAlign w:val="bottom"/>
            <w:hideMark/>
          </w:tcPr>
          <w:p w14:paraId="0A2AD00C"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From 6 to 12 months overdue</w:t>
            </w:r>
          </w:p>
        </w:tc>
        <w:tc>
          <w:tcPr>
            <w:tcW w:w="1134" w:type="dxa"/>
            <w:tcBorders>
              <w:top w:val="nil"/>
              <w:left w:val="nil"/>
              <w:bottom w:val="single" w:sz="4" w:space="0" w:color="auto"/>
              <w:right w:val="nil"/>
            </w:tcBorders>
            <w:shd w:val="clear" w:color="auto" w:fill="auto"/>
            <w:vAlign w:val="bottom"/>
            <w:hideMark/>
          </w:tcPr>
          <w:p w14:paraId="277C22CB"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From 1 to 5 years overdue</w:t>
            </w:r>
          </w:p>
        </w:tc>
        <w:tc>
          <w:tcPr>
            <w:tcW w:w="1417" w:type="dxa"/>
            <w:tcBorders>
              <w:top w:val="nil"/>
              <w:left w:val="nil"/>
              <w:bottom w:val="single" w:sz="4" w:space="0" w:color="auto"/>
              <w:right w:val="nil"/>
            </w:tcBorders>
            <w:shd w:val="clear" w:color="auto" w:fill="auto"/>
            <w:vAlign w:val="bottom"/>
            <w:hideMark/>
          </w:tcPr>
          <w:p w14:paraId="604F95B1"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Impaired but not overdue</w:t>
            </w:r>
          </w:p>
        </w:tc>
        <w:tc>
          <w:tcPr>
            <w:tcW w:w="1559" w:type="dxa"/>
            <w:tcBorders>
              <w:top w:val="nil"/>
              <w:left w:val="nil"/>
              <w:bottom w:val="single" w:sz="4" w:space="0" w:color="auto"/>
              <w:right w:val="nil"/>
            </w:tcBorders>
            <w:shd w:val="clear" w:color="auto" w:fill="auto"/>
            <w:vAlign w:val="bottom"/>
            <w:hideMark/>
          </w:tcPr>
          <w:p w14:paraId="682EA03C"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Provision for impairment</w:t>
            </w:r>
          </w:p>
        </w:tc>
        <w:tc>
          <w:tcPr>
            <w:tcW w:w="1560" w:type="dxa"/>
            <w:tcBorders>
              <w:top w:val="nil"/>
              <w:left w:val="nil"/>
              <w:bottom w:val="single" w:sz="4" w:space="0" w:color="auto"/>
              <w:right w:val="nil"/>
            </w:tcBorders>
            <w:shd w:val="clear" w:color="auto" w:fill="auto"/>
            <w:vAlign w:val="bottom"/>
            <w:hideMark/>
          </w:tcPr>
          <w:p w14:paraId="5FC5FE14"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Total</w:t>
            </w:r>
          </w:p>
        </w:tc>
      </w:tr>
      <w:tr w:rsidR="000C5941" w:rsidRPr="000C5941" w14:paraId="5FF10358" w14:textId="77777777" w:rsidTr="000C5941">
        <w:trPr>
          <w:trHeight w:val="300"/>
        </w:trPr>
        <w:tc>
          <w:tcPr>
            <w:tcW w:w="3402" w:type="dxa"/>
            <w:tcBorders>
              <w:top w:val="nil"/>
              <w:left w:val="nil"/>
              <w:bottom w:val="nil"/>
              <w:right w:val="nil"/>
            </w:tcBorders>
            <w:shd w:val="clear" w:color="auto" w:fill="auto"/>
            <w:noWrap/>
            <w:vAlign w:val="center"/>
            <w:hideMark/>
          </w:tcPr>
          <w:p w14:paraId="2D5BE574" w14:textId="702AFCA6" w:rsidR="000C5941" w:rsidRPr="000C5941" w:rsidRDefault="000C5941" w:rsidP="00926896">
            <w:pPr>
              <w:rPr>
                <w:color w:val="000000"/>
                <w:sz w:val="18"/>
                <w:szCs w:val="18"/>
                <w:lang w:eastAsia="en-GB"/>
              </w:rPr>
            </w:pPr>
            <w:r w:rsidRPr="000C5941">
              <w:rPr>
                <w:color w:val="000000"/>
                <w:sz w:val="18"/>
                <w:szCs w:val="18"/>
                <w:lang w:eastAsia="en-GB"/>
              </w:rPr>
              <w:t>Cash and bank accounts</w:t>
            </w:r>
          </w:p>
        </w:tc>
        <w:tc>
          <w:tcPr>
            <w:tcW w:w="1418" w:type="dxa"/>
            <w:tcBorders>
              <w:top w:val="nil"/>
              <w:left w:val="nil"/>
              <w:bottom w:val="nil"/>
              <w:right w:val="nil"/>
            </w:tcBorders>
            <w:shd w:val="clear" w:color="auto" w:fill="auto"/>
            <w:noWrap/>
            <w:vAlign w:val="bottom"/>
          </w:tcPr>
          <w:p w14:paraId="397E5B39" w14:textId="31CFF987" w:rsidR="000C5941" w:rsidRPr="000C5941" w:rsidRDefault="000C5941" w:rsidP="00926896">
            <w:pPr>
              <w:jc w:val="right"/>
              <w:rPr>
                <w:color w:val="000000"/>
                <w:sz w:val="18"/>
                <w:szCs w:val="18"/>
                <w:lang w:eastAsia="en-GB"/>
              </w:rPr>
            </w:pPr>
            <w:r w:rsidRPr="000C5941">
              <w:rPr>
                <w:color w:val="000000"/>
                <w:sz w:val="18"/>
                <w:szCs w:val="18"/>
                <w:lang w:eastAsia="en-GB"/>
              </w:rPr>
              <w:t>6,563,578</w:t>
            </w:r>
          </w:p>
        </w:tc>
        <w:tc>
          <w:tcPr>
            <w:tcW w:w="1134" w:type="dxa"/>
            <w:tcBorders>
              <w:top w:val="nil"/>
              <w:left w:val="nil"/>
              <w:bottom w:val="nil"/>
              <w:right w:val="nil"/>
            </w:tcBorders>
            <w:shd w:val="clear" w:color="auto" w:fill="auto"/>
            <w:noWrap/>
            <w:vAlign w:val="bottom"/>
            <w:hideMark/>
          </w:tcPr>
          <w:p w14:paraId="3F7E6982"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276" w:type="dxa"/>
            <w:tcBorders>
              <w:top w:val="nil"/>
              <w:left w:val="nil"/>
              <w:bottom w:val="nil"/>
              <w:right w:val="nil"/>
            </w:tcBorders>
            <w:shd w:val="clear" w:color="auto" w:fill="auto"/>
            <w:noWrap/>
            <w:vAlign w:val="bottom"/>
            <w:hideMark/>
          </w:tcPr>
          <w:p w14:paraId="6FA264DC"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134" w:type="dxa"/>
            <w:tcBorders>
              <w:top w:val="nil"/>
              <w:left w:val="nil"/>
              <w:bottom w:val="nil"/>
              <w:right w:val="nil"/>
            </w:tcBorders>
            <w:shd w:val="clear" w:color="auto" w:fill="auto"/>
            <w:noWrap/>
            <w:vAlign w:val="bottom"/>
            <w:hideMark/>
          </w:tcPr>
          <w:p w14:paraId="44043472" w14:textId="629519C6" w:rsidR="000C5941" w:rsidRPr="000C5941" w:rsidRDefault="000C5941" w:rsidP="00926896">
            <w:pPr>
              <w:jc w:val="right"/>
              <w:rPr>
                <w:color w:val="000000"/>
                <w:sz w:val="18"/>
                <w:szCs w:val="18"/>
                <w:lang w:eastAsia="en-GB"/>
              </w:rPr>
            </w:pPr>
            <w:r w:rsidRPr="000C5941">
              <w:rPr>
                <w:color w:val="000000"/>
                <w:sz w:val="18"/>
                <w:szCs w:val="18"/>
              </w:rPr>
              <w:t>417,073</w:t>
            </w:r>
          </w:p>
        </w:tc>
        <w:tc>
          <w:tcPr>
            <w:tcW w:w="1134" w:type="dxa"/>
            <w:tcBorders>
              <w:top w:val="nil"/>
              <w:left w:val="nil"/>
              <w:bottom w:val="nil"/>
              <w:right w:val="nil"/>
            </w:tcBorders>
            <w:shd w:val="clear" w:color="auto" w:fill="auto"/>
            <w:noWrap/>
            <w:vAlign w:val="bottom"/>
            <w:hideMark/>
          </w:tcPr>
          <w:p w14:paraId="705CE23C"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417" w:type="dxa"/>
            <w:tcBorders>
              <w:top w:val="nil"/>
              <w:left w:val="nil"/>
              <w:bottom w:val="nil"/>
              <w:right w:val="nil"/>
            </w:tcBorders>
            <w:shd w:val="clear" w:color="auto" w:fill="auto"/>
            <w:noWrap/>
            <w:vAlign w:val="bottom"/>
            <w:hideMark/>
          </w:tcPr>
          <w:p w14:paraId="36601C6C" w14:textId="624CCBF3" w:rsidR="000C5941" w:rsidRPr="000C5941" w:rsidRDefault="000C5941" w:rsidP="00926896">
            <w:pPr>
              <w:jc w:val="right"/>
              <w:rPr>
                <w:color w:val="000000"/>
                <w:sz w:val="18"/>
                <w:szCs w:val="18"/>
                <w:lang w:eastAsia="en-GB"/>
              </w:rPr>
            </w:pPr>
            <w:r w:rsidRPr="000C5941">
              <w:rPr>
                <w:color w:val="000000"/>
                <w:sz w:val="18"/>
                <w:szCs w:val="18"/>
                <w:lang w:eastAsia="en-GB"/>
              </w:rPr>
              <w:t>-</w:t>
            </w:r>
          </w:p>
        </w:tc>
        <w:tc>
          <w:tcPr>
            <w:tcW w:w="1559" w:type="dxa"/>
            <w:tcBorders>
              <w:top w:val="nil"/>
              <w:left w:val="nil"/>
              <w:bottom w:val="nil"/>
              <w:right w:val="nil"/>
            </w:tcBorders>
            <w:shd w:val="clear" w:color="auto" w:fill="auto"/>
            <w:noWrap/>
            <w:vAlign w:val="bottom"/>
            <w:hideMark/>
          </w:tcPr>
          <w:p w14:paraId="202F2232" w14:textId="4B7BD083" w:rsidR="000C5941" w:rsidRPr="000C5941" w:rsidRDefault="000C5941" w:rsidP="000C5941">
            <w:pPr>
              <w:jc w:val="right"/>
              <w:rPr>
                <w:sz w:val="18"/>
                <w:szCs w:val="18"/>
                <w:lang w:eastAsia="en-GB"/>
              </w:rPr>
            </w:pPr>
            <w:r w:rsidRPr="000C5941">
              <w:rPr>
                <w:sz w:val="18"/>
                <w:szCs w:val="18"/>
                <w:lang w:eastAsia="en-GB"/>
              </w:rPr>
              <w:t>(417,073)</w:t>
            </w:r>
          </w:p>
        </w:tc>
        <w:tc>
          <w:tcPr>
            <w:tcW w:w="1560" w:type="dxa"/>
            <w:tcBorders>
              <w:top w:val="nil"/>
              <w:left w:val="nil"/>
              <w:bottom w:val="nil"/>
              <w:right w:val="nil"/>
            </w:tcBorders>
            <w:shd w:val="clear" w:color="auto" w:fill="auto"/>
            <w:noWrap/>
            <w:vAlign w:val="bottom"/>
            <w:hideMark/>
          </w:tcPr>
          <w:p w14:paraId="4B3F8C2A" w14:textId="35FB883B" w:rsidR="000C5941" w:rsidRPr="000C5941" w:rsidRDefault="000C5941" w:rsidP="00926896">
            <w:pPr>
              <w:jc w:val="right"/>
              <w:rPr>
                <w:color w:val="000000"/>
                <w:sz w:val="18"/>
                <w:szCs w:val="18"/>
                <w:lang w:eastAsia="en-GB"/>
              </w:rPr>
            </w:pPr>
            <w:r>
              <w:rPr>
                <w:color w:val="000000"/>
                <w:sz w:val="18"/>
                <w:szCs w:val="18"/>
              </w:rPr>
              <w:t>6,563,578</w:t>
            </w:r>
            <w:r w:rsidRPr="000C5941">
              <w:rPr>
                <w:color w:val="000000"/>
                <w:sz w:val="18"/>
                <w:szCs w:val="18"/>
              </w:rPr>
              <w:t xml:space="preserve"> </w:t>
            </w:r>
          </w:p>
        </w:tc>
      </w:tr>
      <w:tr w:rsidR="000C5941" w:rsidRPr="000C5941" w14:paraId="60CA2A2E" w14:textId="77777777" w:rsidTr="000C5941">
        <w:trPr>
          <w:trHeight w:val="300"/>
        </w:trPr>
        <w:tc>
          <w:tcPr>
            <w:tcW w:w="3402" w:type="dxa"/>
            <w:tcBorders>
              <w:top w:val="nil"/>
              <w:left w:val="nil"/>
              <w:bottom w:val="nil"/>
              <w:right w:val="nil"/>
            </w:tcBorders>
            <w:shd w:val="clear" w:color="auto" w:fill="auto"/>
            <w:noWrap/>
            <w:vAlign w:val="center"/>
            <w:hideMark/>
          </w:tcPr>
          <w:p w14:paraId="3C1A29E0" w14:textId="77777777" w:rsidR="000C5941" w:rsidRPr="000C5941" w:rsidRDefault="000C5941" w:rsidP="00926896">
            <w:pPr>
              <w:rPr>
                <w:color w:val="000000"/>
                <w:sz w:val="18"/>
                <w:szCs w:val="18"/>
                <w:lang w:eastAsia="en-GB"/>
              </w:rPr>
            </w:pPr>
            <w:r w:rsidRPr="000C5941">
              <w:rPr>
                <w:color w:val="000000"/>
                <w:sz w:val="18"/>
                <w:szCs w:val="18"/>
                <w:lang w:eastAsia="en-GB"/>
              </w:rPr>
              <w:t>Deposits with banks</w:t>
            </w:r>
          </w:p>
        </w:tc>
        <w:tc>
          <w:tcPr>
            <w:tcW w:w="1418" w:type="dxa"/>
            <w:tcBorders>
              <w:top w:val="nil"/>
              <w:left w:val="nil"/>
              <w:bottom w:val="nil"/>
              <w:right w:val="nil"/>
            </w:tcBorders>
            <w:shd w:val="clear" w:color="auto" w:fill="auto"/>
            <w:noWrap/>
            <w:vAlign w:val="bottom"/>
          </w:tcPr>
          <w:p w14:paraId="52C54739" w14:textId="0AC9EF7E" w:rsidR="000C5941" w:rsidRPr="000C5941" w:rsidRDefault="000C5941" w:rsidP="00926896">
            <w:pPr>
              <w:jc w:val="right"/>
              <w:rPr>
                <w:color w:val="000000"/>
                <w:sz w:val="18"/>
                <w:szCs w:val="18"/>
                <w:lang w:eastAsia="en-GB"/>
              </w:rPr>
            </w:pPr>
            <w:r w:rsidRPr="000C5941">
              <w:rPr>
                <w:color w:val="000000"/>
                <w:sz w:val="18"/>
                <w:szCs w:val="18"/>
                <w:lang w:eastAsia="en-GB"/>
              </w:rPr>
              <w:t>6,758,840</w:t>
            </w:r>
          </w:p>
        </w:tc>
        <w:tc>
          <w:tcPr>
            <w:tcW w:w="1134" w:type="dxa"/>
            <w:tcBorders>
              <w:top w:val="nil"/>
              <w:left w:val="nil"/>
              <w:bottom w:val="nil"/>
              <w:right w:val="nil"/>
            </w:tcBorders>
            <w:shd w:val="clear" w:color="auto" w:fill="auto"/>
            <w:noWrap/>
            <w:vAlign w:val="bottom"/>
            <w:hideMark/>
          </w:tcPr>
          <w:p w14:paraId="754A2F2B"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276" w:type="dxa"/>
            <w:tcBorders>
              <w:top w:val="nil"/>
              <w:left w:val="nil"/>
              <w:bottom w:val="nil"/>
              <w:right w:val="nil"/>
            </w:tcBorders>
            <w:shd w:val="clear" w:color="auto" w:fill="auto"/>
            <w:noWrap/>
            <w:vAlign w:val="bottom"/>
            <w:hideMark/>
          </w:tcPr>
          <w:p w14:paraId="3A00802E"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134" w:type="dxa"/>
            <w:tcBorders>
              <w:top w:val="nil"/>
              <w:left w:val="nil"/>
              <w:bottom w:val="nil"/>
              <w:right w:val="nil"/>
            </w:tcBorders>
            <w:shd w:val="clear" w:color="auto" w:fill="auto"/>
            <w:noWrap/>
            <w:vAlign w:val="bottom"/>
            <w:hideMark/>
          </w:tcPr>
          <w:p w14:paraId="40422C6B"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134" w:type="dxa"/>
            <w:tcBorders>
              <w:top w:val="nil"/>
              <w:left w:val="nil"/>
              <w:bottom w:val="nil"/>
              <w:right w:val="nil"/>
            </w:tcBorders>
            <w:shd w:val="clear" w:color="auto" w:fill="auto"/>
            <w:noWrap/>
            <w:vAlign w:val="bottom"/>
            <w:hideMark/>
          </w:tcPr>
          <w:p w14:paraId="45AED831"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417" w:type="dxa"/>
            <w:tcBorders>
              <w:top w:val="nil"/>
              <w:left w:val="nil"/>
              <w:bottom w:val="nil"/>
              <w:right w:val="nil"/>
            </w:tcBorders>
            <w:shd w:val="clear" w:color="auto" w:fill="auto"/>
            <w:noWrap/>
            <w:vAlign w:val="bottom"/>
            <w:hideMark/>
          </w:tcPr>
          <w:p w14:paraId="5FA8A90A"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559" w:type="dxa"/>
            <w:tcBorders>
              <w:top w:val="nil"/>
              <w:left w:val="nil"/>
              <w:bottom w:val="nil"/>
              <w:right w:val="nil"/>
            </w:tcBorders>
            <w:shd w:val="clear" w:color="auto" w:fill="auto"/>
            <w:noWrap/>
            <w:vAlign w:val="bottom"/>
            <w:hideMark/>
          </w:tcPr>
          <w:p w14:paraId="6469CB48"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560" w:type="dxa"/>
            <w:tcBorders>
              <w:top w:val="nil"/>
              <w:left w:val="nil"/>
              <w:bottom w:val="nil"/>
              <w:right w:val="nil"/>
            </w:tcBorders>
            <w:shd w:val="clear" w:color="auto" w:fill="auto"/>
            <w:noWrap/>
            <w:vAlign w:val="bottom"/>
            <w:hideMark/>
          </w:tcPr>
          <w:p w14:paraId="49A88384" w14:textId="45276ACC" w:rsidR="000C5941" w:rsidRPr="000C5941" w:rsidRDefault="000C5941" w:rsidP="00926896">
            <w:pPr>
              <w:jc w:val="right"/>
              <w:rPr>
                <w:color w:val="000000"/>
                <w:sz w:val="18"/>
                <w:szCs w:val="18"/>
                <w:lang w:eastAsia="en-GB"/>
              </w:rPr>
            </w:pPr>
            <w:r>
              <w:rPr>
                <w:color w:val="000000"/>
                <w:sz w:val="18"/>
                <w:szCs w:val="18"/>
              </w:rPr>
              <w:t>6,758,840</w:t>
            </w:r>
            <w:r w:rsidRPr="000C5941">
              <w:rPr>
                <w:color w:val="000000"/>
                <w:sz w:val="18"/>
                <w:szCs w:val="18"/>
              </w:rPr>
              <w:t xml:space="preserve"> </w:t>
            </w:r>
          </w:p>
        </w:tc>
      </w:tr>
      <w:tr w:rsidR="000C5941" w:rsidRPr="000C5941" w14:paraId="7B4F4AFF" w14:textId="77777777" w:rsidTr="000C5941">
        <w:trPr>
          <w:trHeight w:val="300"/>
        </w:trPr>
        <w:tc>
          <w:tcPr>
            <w:tcW w:w="3402" w:type="dxa"/>
            <w:tcBorders>
              <w:top w:val="nil"/>
              <w:left w:val="nil"/>
              <w:bottom w:val="nil"/>
              <w:right w:val="nil"/>
            </w:tcBorders>
            <w:shd w:val="clear" w:color="auto" w:fill="auto"/>
            <w:noWrap/>
            <w:vAlign w:val="center"/>
            <w:hideMark/>
          </w:tcPr>
          <w:p w14:paraId="46C10EA3" w14:textId="77777777" w:rsidR="000C5941" w:rsidRPr="000C5941" w:rsidRDefault="000C5941" w:rsidP="00926896">
            <w:pPr>
              <w:rPr>
                <w:color w:val="000000"/>
                <w:sz w:val="18"/>
                <w:szCs w:val="18"/>
                <w:lang w:eastAsia="en-GB"/>
              </w:rPr>
            </w:pPr>
            <w:r w:rsidRPr="000C5941">
              <w:rPr>
                <w:color w:val="000000"/>
                <w:sz w:val="18"/>
                <w:szCs w:val="18"/>
                <w:lang w:eastAsia="en-GB"/>
              </w:rPr>
              <w:t>Receivables</w:t>
            </w:r>
          </w:p>
        </w:tc>
        <w:tc>
          <w:tcPr>
            <w:tcW w:w="1418" w:type="dxa"/>
            <w:tcBorders>
              <w:top w:val="nil"/>
              <w:left w:val="nil"/>
              <w:bottom w:val="nil"/>
              <w:right w:val="nil"/>
            </w:tcBorders>
            <w:shd w:val="clear" w:color="auto" w:fill="auto"/>
            <w:noWrap/>
            <w:vAlign w:val="bottom"/>
          </w:tcPr>
          <w:p w14:paraId="775B5A94" w14:textId="03BE11EC" w:rsidR="000C5941" w:rsidRPr="000C5941" w:rsidRDefault="000C5941" w:rsidP="00926896">
            <w:pPr>
              <w:jc w:val="right"/>
              <w:rPr>
                <w:color w:val="000000"/>
                <w:sz w:val="18"/>
                <w:szCs w:val="18"/>
                <w:lang w:eastAsia="en-GB"/>
              </w:rPr>
            </w:pPr>
            <w:r w:rsidRPr="000C5941">
              <w:rPr>
                <w:color w:val="000000"/>
                <w:sz w:val="18"/>
                <w:szCs w:val="18"/>
                <w:lang w:eastAsia="en-GB"/>
              </w:rPr>
              <w:t>1,276,217</w:t>
            </w:r>
          </w:p>
        </w:tc>
        <w:tc>
          <w:tcPr>
            <w:tcW w:w="1134" w:type="dxa"/>
            <w:tcBorders>
              <w:top w:val="nil"/>
              <w:left w:val="nil"/>
              <w:bottom w:val="nil"/>
              <w:right w:val="nil"/>
            </w:tcBorders>
            <w:shd w:val="clear" w:color="auto" w:fill="auto"/>
            <w:noWrap/>
            <w:vAlign w:val="bottom"/>
            <w:hideMark/>
          </w:tcPr>
          <w:p w14:paraId="06AED808" w14:textId="117B5B18" w:rsidR="000C5941" w:rsidRPr="000C5941" w:rsidRDefault="000C5941" w:rsidP="00926896">
            <w:pPr>
              <w:jc w:val="right"/>
              <w:rPr>
                <w:color w:val="000000"/>
                <w:sz w:val="18"/>
                <w:szCs w:val="18"/>
                <w:lang w:eastAsia="en-GB"/>
              </w:rPr>
            </w:pPr>
            <w:r w:rsidRPr="000C5941">
              <w:rPr>
                <w:color w:val="000000"/>
                <w:sz w:val="18"/>
                <w:szCs w:val="18"/>
              </w:rPr>
              <w:t>5,300,167</w:t>
            </w:r>
          </w:p>
        </w:tc>
        <w:tc>
          <w:tcPr>
            <w:tcW w:w="1276" w:type="dxa"/>
            <w:tcBorders>
              <w:top w:val="nil"/>
              <w:left w:val="nil"/>
              <w:bottom w:val="nil"/>
              <w:right w:val="nil"/>
            </w:tcBorders>
            <w:shd w:val="clear" w:color="auto" w:fill="auto"/>
            <w:noWrap/>
            <w:vAlign w:val="bottom"/>
            <w:hideMark/>
          </w:tcPr>
          <w:p w14:paraId="7CA24C8C"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134" w:type="dxa"/>
            <w:tcBorders>
              <w:top w:val="nil"/>
              <w:left w:val="nil"/>
              <w:bottom w:val="nil"/>
              <w:right w:val="nil"/>
            </w:tcBorders>
            <w:shd w:val="clear" w:color="auto" w:fill="auto"/>
            <w:noWrap/>
            <w:vAlign w:val="bottom"/>
            <w:hideMark/>
          </w:tcPr>
          <w:p w14:paraId="795F860D" w14:textId="6F72349A" w:rsidR="000C5941" w:rsidRPr="000C5941" w:rsidRDefault="000C5941" w:rsidP="00926896">
            <w:pPr>
              <w:jc w:val="right"/>
              <w:rPr>
                <w:color w:val="000000"/>
                <w:sz w:val="18"/>
                <w:szCs w:val="18"/>
                <w:lang w:eastAsia="en-GB"/>
              </w:rPr>
            </w:pPr>
            <w:r w:rsidRPr="000C5941">
              <w:rPr>
                <w:color w:val="000000"/>
                <w:sz w:val="18"/>
                <w:szCs w:val="18"/>
              </w:rPr>
              <w:t xml:space="preserve">- </w:t>
            </w:r>
          </w:p>
        </w:tc>
        <w:tc>
          <w:tcPr>
            <w:tcW w:w="1134" w:type="dxa"/>
            <w:tcBorders>
              <w:top w:val="nil"/>
              <w:left w:val="nil"/>
              <w:bottom w:val="nil"/>
              <w:right w:val="nil"/>
            </w:tcBorders>
            <w:shd w:val="clear" w:color="auto" w:fill="auto"/>
            <w:noWrap/>
            <w:vAlign w:val="bottom"/>
            <w:hideMark/>
          </w:tcPr>
          <w:p w14:paraId="60A68FD7"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417" w:type="dxa"/>
            <w:tcBorders>
              <w:top w:val="nil"/>
              <w:left w:val="nil"/>
              <w:bottom w:val="nil"/>
              <w:right w:val="nil"/>
            </w:tcBorders>
            <w:shd w:val="clear" w:color="auto" w:fill="auto"/>
            <w:noWrap/>
            <w:vAlign w:val="bottom"/>
            <w:hideMark/>
          </w:tcPr>
          <w:p w14:paraId="70E91354"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559" w:type="dxa"/>
            <w:tcBorders>
              <w:top w:val="nil"/>
              <w:left w:val="nil"/>
              <w:bottom w:val="nil"/>
              <w:right w:val="nil"/>
            </w:tcBorders>
            <w:shd w:val="clear" w:color="auto" w:fill="auto"/>
            <w:noWrap/>
            <w:vAlign w:val="bottom"/>
            <w:hideMark/>
          </w:tcPr>
          <w:p w14:paraId="389770C2" w14:textId="53262738" w:rsidR="000C5941" w:rsidRPr="000C5941" w:rsidRDefault="000C5941" w:rsidP="00926896">
            <w:pPr>
              <w:jc w:val="right"/>
              <w:rPr>
                <w:color w:val="000000"/>
                <w:sz w:val="18"/>
                <w:szCs w:val="18"/>
                <w:lang w:eastAsia="en-GB"/>
              </w:rPr>
            </w:pPr>
            <w:r>
              <w:rPr>
                <w:color w:val="000000"/>
                <w:sz w:val="18"/>
                <w:szCs w:val="18"/>
              </w:rPr>
              <w:t>-</w:t>
            </w:r>
          </w:p>
        </w:tc>
        <w:tc>
          <w:tcPr>
            <w:tcW w:w="1560" w:type="dxa"/>
            <w:tcBorders>
              <w:top w:val="nil"/>
              <w:left w:val="nil"/>
              <w:bottom w:val="nil"/>
              <w:right w:val="nil"/>
            </w:tcBorders>
            <w:shd w:val="clear" w:color="auto" w:fill="auto"/>
            <w:noWrap/>
            <w:vAlign w:val="bottom"/>
            <w:hideMark/>
          </w:tcPr>
          <w:p w14:paraId="24CD840A" w14:textId="7DC627A3" w:rsidR="000C5941" w:rsidRPr="000C5941" w:rsidRDefault="000C5941" w:rsidP="00926896">
            <w:pPr>
              <w:jc w:val="right"/>
              <w:rPr>
                <w:color w:val="000000"/>
                <w:sz w:val="18"/>
                <w:szCs w:val="18"/>
                <w:lang w:eastAsia="en-GB"/>
              </w:rPr>
            </w:pPr>
            <w:r>
              <w:rPr>
                <w:color w:val="000000"/>
                <w:sz w:val="18"/>
                <w:szCs w:val="18"/>
              </w:rPr>
              <w:t>6,576,384</w:t>
            </w:r>
            <w:r w:rsidRPr="000C5941">
              <w:rPr>
                <w:color w:val="000000"/>
                <w:sz w:val="18"/>
                <w:szCs w:val="18"/>
              </w:rPr>
              <w:t xml:space="preserve"> </w:t>
            </w:r>
          </w:p>
        </w:tc>
      </w:tr>
      <w:tr w:rsidR="000C5941" w:rsidRPr="000C5941" w14:paraId="404A5910" w14:textId="77777777" w:rsidTr="000C5941">
        <w:trPr>
          <w:trHeight w:val="300"/>
        </w:trPr>
        <w:tc>
          <w:tcPr>
            <w:tcW w:w="3402" w:type="dxa"/>
            <w:tcBorders>
              <w:top w:val="nil"/>
              <w:left w:val="nil"/>
              <w:bottom w:val="nil"/>
              <w:right w:val="nil"/>
            </w:tcBorders>
            <w:shd w:val="clear" w:color="auto" w:fill="auto"/>
            <w:vAlign w:val="center"/>
            <w:hideMark/>
          </w:tcPr>
          <w:p w14:paraId="2BFD10E6" w14:textId="77777777" w:rsidR="000C5941" w:rsidRPr="000C5941" w:rsidRDefault="000C5941" w:rsidP="00926896">
            <w:pPr>
              <w:rPr>
                <w:color w:val="000000"/>
                <w:sz w:val="18"/>
                <w:szCs w:val="18"/>
                <w:lang w:eastAsia="en-GB"/>
              </w:rPr>
            </w:pPr>
            <w:r w:rsidRPr="000C5941">
              <w:rPr>
                <w:color w:val="000000"/>
                <w:sz w:val="18"/>
                <w:szCs w:val="18"/>
                <w:lang w:eastAsia="en-GB"/>
              </w:rPr>
              <w:t>Reinsurance assets</w:t>
            </w:r>
          </w:p>
        </w:tc>
        <w:tc>
          <w:tcPr>
            <w:tcW w:w="1418" w:type="dxa"/>
            <w:tcBorders>
              <w:top w:val="nil"/>
              <w:left w:val="nil"/>
              <w:bottom w:val="nil"/>
              <w:right w:val="nil"/>
            </w:tcBorders>
            <w:shd w:val="clear" w:color="auto" w:fill="auto"/>
            <w:noWrap/>
            <w:vAlign w:val="bottom"/>
          </w:tcPr>
          <w:p w14:paraId="267E0F90" w14:textId="4845D2B6" w:rsidR="000C5941" w:rsidRPr="000C5941" w:rsidRDefault="000C5941" w:rsidP="00926896">
            <w:pPr>
              <w:jc w:val="right"/>
              <w:rPr>
                <w:color w:val="000000"/>
                <w:sz w:val="18"/>
                <w:szCs w:val="18"/>
                <w:lang w:eastAsia="en-GB"/>
              </w:rPr>
            </w:pPr>
            <w:r w:rsidRPr="000C5941">
              <w:rPr>
                <w:color w:val="000000"/>
                <w:sz w:val="18"/>
                <w:szCs w:val="18"/>
                <w:lang w:eastAsia="en-GB"/>
              </w:rPr>
              <w:t>1,033,972</w:t>
            </w:r>
          </w:p>
        </w:tc>
        <w:tc>
          <w:tcPr>
            <w:tcW w:w="1134" w:type="dxa"/>
            <w:tcBorders>
              <w:top w:val="nil"/>
              <w:left w:val="nil"/>
              <w:bottom w:val="nil"/>
              <w:right w:val="nil"/>
            </w:tcBorders>
            <w:shd w:val="clear" w:color="auto" w:fill="auto"/>
            <w:noWrap/>
            <w:vAlign w:val="bottom"/>
            <w:hideMark/>
          </w:tcPr>
          <w:p w14:paraId="4D27D024"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276" w:type="dxa"/>
            <w:tcBorders>
              <w:top w:val="nil"/>
              <w:left w:val="nil"/>
              <w:bottom w:val="nil"/>
              <w:right w:val="nil"/>
            </w:tcBorders>
            <w:shd w:val="clear" w:color="auto" w:fill="auto"/>
            <w:noWrap/>
            <w:vAlign w:val="bottom"/>
            <w:hideMark/>
          </w:tcPr>
          <w:p w14:paraId="0B68E433"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134" w:type="dxa"/>
            <w:tcBorders>
              <w:top w:val="nil"/>
              <w:left w:val="nil"/>
              <w:bottom w:val="nil"/>
              <w:right w:val="nil"/>
            </w:tcBorders>
            <w:shd w:val="clear" w:color="auto" w:fill="auto"/>
            <w:noWrap/>
            <w:vAlign w:val="bottom"/>
            <w:hideMark/>
          </w:tcPr>
          <w:p w14:paraId="52073A50"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134" w:type="dxa"/>
            <w:tcBorders>
              <w:top w:val="nil"/>
              <w:left w:val="nil"/>
              <w:bottom w:val="nil"/>
              <w:right w:val="nil"/>
            </w:tcBorders>
            <w:shd w:val="clear" w:color="auto" w:fill="auto"/>
            <w:noWrap/>
            <w:vAlign w:val="bottom"/>
            <w:hideMark/>
          </w:tcPr>
          <w:p w14:paraId="7A54FB55"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417" w:type="dxa"/>
            <w:tcBorders>
              <w:top w:val="nil"/>
              <w:left w:val="nil"/>
              <w:bottom w:val="nil"/>
              <w:right w:val="nil"/>
            </w:tcBorders>
            <w:shd w:val="clear" w:color="auto" w:fill="auto"/>
            <w:noWrap/>
            <w:vAlign w:val="bottom"/>
            <w:hideMark/>
          </w:tcPr>
          <w:p w14:paraId="293AD7C7"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559" w:type="dxa"/>
            <w:tcBorders>
              <w:top w:val="nil"/>
              <w:left w:val="nil"/>
              <w:bottom w:val="nil"/>
              <w:right w:val="nil"/>
            </w:tcBorders>
            <w:shd w:val="clear" w:color="auto" w:fill="auto"/>
            <w:noWrap/>
            <w:vAlign w:val="bottom"/>
            <w:hideMark/>
          </w:tcPr>
          <w:p w14:paraId="5174B659" w14:textId="77777777" w:rsidR="000C5941" w:rsidRPr="000C5941" w:rsidRDefault="000C5941" w:rsidP="00926896">
            <w:pPr>
              <w:jc w:val="right"/>
              <w:rPr>
                <w:color w:val="000000"/>
                <w:sz w:val="18"/>
                <w:szCs w:val="18"/>
                <w:lang w:eastAsia="en-GB"/>
              </w:rPr>
            </w:pPr>
            <w:r w:rsidRPr="000C5941">
              <w:rPr>
                <w:color w:val="000000"/>
                <w:sz w:val="18"/>
                <w:szCs w:val="18"/>
              </w:rPr>
              <w:t>-</w:t>
            </w:r>
          </w:p>
        </w:tc>
        <w:tc>
          <w:tcPr>
            <w:tcW w:w="1560" w:type="dxa"/>
            <w:tcBorders>
              <w:top w:val="nil"/>
              <w:left w:val="nil"/>
              <w:bottom w:val="nil"/>
              <w:right w:val="nil"/>
            </w:tcBorders>
            <w:shd w:val="clear" w:color="auto" w:fill="auto"/>
            <w:noWrap/>
            <w:vAlign w:val="bottom"/>
            <w:hideMark/>
          </w:tcPr>
          <w:p w14:paraId="058451FF" w14:textId="0E94F07C" w:rsidR="000C5941" w:rsidRPr="000C5941" w:rsidRDefault="000C5941" w:rsidP="00926896">
            <w:pPr>
              <w:jc w:val="right"/>
              <w:rPr>
                <w:color w:val="000000"/>
                <w:sz w:val="18"/>
                <w:szCs w:val="18"/>
                <w:lang w:eastAsia="en-GB"/>
              </w:rPr>
            </w:pPr>
            <w:r>
              <w:rPr>
                <w:color w:val="000000"/>
                <w:sz w:val="18"/>
                <w:szCs w:val="18"/>
              </w:rPr>
              <w:t>1,033,972</w:t>
            </w:r>
            <w:r w:rsidRPr="000C5941">
              <w:rPr>
                <w:color w:val="000000"/>
                <w:sz w:val="18"/>
                <w:szCs w:val="18"/>
              </w:rPr>
              <w:t xml:space="preserve"> </w:t>
            </w:r>
          </w:p>
        </w:tc>
      </w:tr>
      <w:tr w:rsidR="000C5941" w:rsidRPr="000C5941" w14:paraId="0167E3D8" w14:textId="77777777" w:rsidTr="000C5941">
        <w:trPr>
          <w:trHeight w:val="315"/>
        </w:trPr>
        <w:tc>
          <w:tcPr>
            <w:tcW w:w="3402" w:type="dxa"/>
            <w:tcBorders>
              <w:top w:val="single" w:sz="4" w:space="0" w:color="auto"/>
              <w:left w:val="nil"/>
              <w:bottom w:val="double" w:sz="6" w:space="0" w:color="auto"/>
              <w:right w:val="nil"/>
            </w:tcBorders>
            <w:shd w:val="clear" w:color="auto" w:fill="auto"/>
            <w:noWrap/>
            <w:vAlign w:val="bottom"/>
            <w:hideMark/>
          </w:tcPr>
          <w:p w14:paraId="7F4781D7" w14:textId="77777777" w:rsidR="000C5941" w:rsidRPr="000C5941" w:rsidRDefault="000C5941" w:rsidP="00926896">
            <w:pPr>
              <w:rPr>
                <w:b/>
                <w:bCs/>
                <w:color w:val="000000"/>
                <w:sz w:val="18"/>
                <w:szCs w:val="18"/>
                <w:lang w:eastAsia="en-GB"/>
              </w:rPr>
            </w:pPr>
            <w:r w:rsidRPr="000C5941">
              <w:rPr>
                <w:b/>
                <w:bCs/>
                <w:color w:val="000000"/>
                <w:sz w:val="18"/>
                <w:szCs w:val="18"/>
                <w:lang w:eastAsia="en-GB"/>
              </w:rPr>
              <w:t>Total financial assets</w:t>
            </w:r>
          </w:p>
        </w:tc>
        <w:tc>
          <w:tcPr>
            <w:tcW w:w="1418" w:type="dxa"/>
            <w:tcBorders>
              <w:top w:val="single" w:sz="4" w:space="0" w:color="auto"/>
              <w:left w:val="nil"/>
              <w:bottom w:val="double" w:sz="6" w:space="0" w:color="auto"/>
              <w:right w:val="nil"/>
            </w:tcBorders>
            <w:shd w:val="clear" w:color="auto" w:fill="auto"/>
            <w:noWrap/>
            <w:vAlign w:val="bottom"/>
          </w:tcPr>
          <w:p w14:paraId="754D1CCC" w14:textId="4FDD91CA" w:rsidR="000C5941" w:rsidRPr="000C5941" w:rsidRDefault="000C5941" w:rsidP="00926896">
            <w:pPr>
              <w:jc w:val="right"/>
              <w:rPr>
                <w:b/>
                <w:bCs/>
                <w:color w:val="000000"/>
                <w:sz w:val="18"/>
                <w:szCs w:val="18"/>
                <w:lang w:eastAsia="en-GB"/>
              </w:rPr>
            </w:pPr>
            <w:r w:rsidRPr="000C5941">
              <w:rPr>
                <w:b/>
                <w:bCs/>
                <w:color w:val="000000"/>
                <w:sz w:val="18"/>
                <w:szCs w:val="18"/>
                <w:lang w:eastAsia="en-GB"/>
              </w:rPr>
              <w:t>15,632,607</w:t>
            </w:r>
          </w:p>
        </w:tc>
        <w:tc>
          <w:tcPr>
            <w:tcW w:w="1134" w:type="dxa"/>
            <w:tcBorders>
              <w:top w:val="single" w:sz="4" w:space="0" w:color="auto"/>
              <w:left w:val="nil"/>
              <w:bottom w:val="double" w:sz="6" w:space="0" w:color="auto"/>
              <w:right w:val="nil"/>
            </w:tcBorders>
            <w:shd w:val="clear" w:color="auto" w:fill="auto"/>
            <w:noWrap/>
            <w:vAlign w:val="bottom"/>
            <w:hideMark/>
          </w:tcPr>
          <w:p w14:paraId="2A56BC84" w14:textId="7D8C9A35" w:rsidR="000C5941" w:rsidRPr="000C5941" w:rsidRDefault="000C5941" w:rsidP="00926896">
            <w:pPr>
              <w:jc w:val="right"/>
              <w:rPr>
                <w:b/>
                <w:bCs/>
                <w:color w:val="000000"/>
                <w:sz w:val="18"/>
                <w:szCs w:val="18"/>
                <w:lang w:eastAsia="en-GB"/>
              </w:rPr>
            </w:pPr>
            <w:r w:rsidRPr="000C5941">
              <w:rPr>
                <w:b/>
                <w:bCs/>
                <w:color w:val="000000"/>
                <w:sz w:val="18"/>
                <w:szCs w:val="18"/>
              </w:rPr>
              <w:t>5,300,167</w:t>
            </w:r>
          </w:p>
        </w:tc>
        <w:tc>
          <w:tcPr>
            <w:tcW w:w="1276" w:type="dxa"/>
            <w:tcBorders>
              <w:top w:val="single" w:sz="4" w:space="0" w:color="auto"/>
              <w:left w:val="nil"/>
              <w:bottom w:val="double" w:sz="6" w:space="0" w:color="auto"/>
              <w:right w:val="nil"/>
            </w:tcBorders>
            <w:shd w:val="clear" w:color="auto" w:fill="auto"/>
            <w:noWrap/>
            <w:vAlign w:val="bottom"/>
            <w:hideMark/>
          </w:tcPr>
          <w:p w14:paraId="5C8AD7E9" w14:textId="77777777" w:rsidR="000C5941" w:rsidRPr="000C5941" w:rsidRDefault="000C5941" w:rsidP="00926896">
            <w:pPr>
              <w:jc w:val="right"/>
              <w:rPr>
                <w:b/>
                <w:bCs/>
                <w:color w:val="000000"/>
                <w:sz w:val="18"/>
                <w:szCs w:val="18"/>
                <w:lang w:eastAsia="en-GB"/>
              </w:rPr>
            </w:pPr>
            <w:r w:rsidRPr="000C5941">
              <w:rPr>
                <w:b/>
                <w:bCs/>
                <w:color w:val="000000"/>
                <w:sz w:val="18"/>
                <w:szCs w:val="18"/>
              </w:rPr>
              <w:t>-</w:t>
            </w:r>
          </w:p>
        </w:tc>
        <w:tc>
          <w:tcPr>
            <w:tcW w:w="1134" w:type="dxa"/>
            <w:tcBorders>
              <w:top w:val="single" w:sz="4" w:space="0" w:color="auto"/>
              <w:left w:val="nil"/>
              <w:bottom w:val="double" w:sz="6" w:space="0" w:color="auto"/>
              <w:right w:val="nil"/>
            </w:tcBorders>
            <w:shd w:val="clear" w:color="auto" w:fill="auto"/>
            <w:noWrap/>
            <w:vAlign w:val="bottom"/>
            <w:hideMark/>
          </w:tcPr>
          <w:p w14:paraId="5589FC2E" w14:textId="7F1BA318" w:rsidR="000C5941" w:rsidRPr="000C5941" w:rsidRDefault="000C5941" w:rsidP="00926896">
            <w:pPr>
              <w:jc w:val="right"/>
              <w:rPr>
                <w:b/>
                <w:bCs/>
                <w:color w:val="000000"/>
                <w:sz w:val="18"/>
                <w:szCs w:val="18"/>
                <w:lang w:eastAsia="en-GB"/>
              </w:rPr>
            </w:pPr>
            <w:r w:rsidRPr="000C5941">
              <w:rPr>
                <w:b/>
                <w:bCs/>
                <w:color w:val="000000"/>
                <w:sz w:val="18"/>
                <w:szCs w:val="18"/>
              </w:rPr>
              <w:t xml:space="preserve">417,073 </w:t>
            </w:r>
          </w:p>
        </w:tc>
        <w:tc>
          <w:tcPr>
            <w:tcW w:w="1134" w:type="dxa"/>
            <w:tcBorders>
              <w:top w:val="single" w:sz="4" w:space="0" w:color="auto"/>
              <w:left w:val="nil"/>
              <w:bottom w:val="double" w:sz="6" w:space="0" w:color="auto"/>
              <w:right w:val="nil"/>
            </w:tcBorders>
            <w:shd w:val="clear" w:color="auto" w:fill="auto"/>
            <w:noWrap/>
            <w:vAlign w:val="bottom"/>
            <w:hideMark/>
          </w:tcPr>
          <w:p w14:paraId="299C5830" w14:textId="77777777" w:rsidR="000C5941" w:rsidRPr="000C5941" w:rsidRDefault="000C5941" w:rsidP="00926896">
            <w:pPr>
              <w:jc w:val="right"/>
              <w:rPr>
                <w:b/>
                <w:bCs/>
                <w:color w:val="000000"/>
                <w:sz w:val="18"/>
                <w:szCs w:val="18"/>
                <w:lang w:eastAsia="en-GB"/>
              </w:rPr>
            </w:pPr>
            <w:r w:rsidRPr="000C5941">
              <w:rPr>
                <w:b/>
                <w:bCs/>
                <w:color w:val="000000"/>
                <w:sz w:val="18"/>
                <w:szCs w:val="18"/>
              </w:rPr>
              <w:t>-</w:t>
            </w:r>
          </w:p>
        </w:tc>
        <w:tc>
          <w:tcPr>
            <w:tcW w:w="1417" w:type="dxa"/>
            <w:tcBorders>
              <w:top w:val="single" w:sz="4" w:space="0" w:color="auto"/>
              <w:left w:val="nil"/>
              <w:bottom w:val="double" w:sz="6" w:space="0" w:color="auto"/>
              <w:right w:val="nil"/>
            </w:tcBorders>
            <w:shd w:val="clear" w:color="auto" w:fill="auto"/>
            <w:noWrap/>
            <w:vAlign w:val="bottom"/>
            <w:hideMark/>
          </w:tcPr>
          <w:p w14:paraId="6DEFFD5B" w14:textId="77777777" w:rsidR="000C5941" w:rsidRPr="000C5941" w:rsidRDefault="000C5941" w:rsidP="00926896">
            <w:pPr>
              <w:jc w:val="right"/>
              <w:rPr>
                <w:b/>
                <w:bCs/>
                <w:color w:val="000000"/>
                <w:sz w:val="18"/>
                <w:szCs w:val="18"/>
                <w:lang w:eastAsia="en-GB"/>
              </w:rPr>
            </w:pPr>
            <w:r w:rsidRPr="000C5941">
              <w:rPr>
                <w:b/>
                <w:bCs/>
                <w:color w:val="000000"/>
                <w:sz w:val="18"/>
                <w:szCs w:val="18"/>
              </w:rPr>
              <w:t>-</w:t>
            </w:r>
          </w:p>
        </w:tc>
        <w:tc>
          <w:tcPr>
            <w:tcW w:w="1559" w:type="dxa"/>
            <w:tcBorders>
              <w:top w:val="single" w:sz="4" w:space="0" w:color="auto"/>
              <w:left w:val="nil"/>
              <w:bottom w:val="double" w:sz="6" w:space="0" w:color="auto"/>
              <w:right w:val="nil"/>
            </w:tcBorders>
            <w:shd w:val="clear" w:color="auto" w:fill="auto"/>
            <w:noWrap/>
            <w:vAlign w:val="bottom"/>
            <w:hideMark/>
          </w:tcPr>
          <w:p w14:paraId="2AD776AF" w14:textId="762DAB9C" w:rsidR="000C5941" w:rsidRPr="000C5941" w:rsidRDefault="000C5941" w:rsidP="00926896">
            <w:pPr>
              <w:jc w:val="right"/>
              <w:rPr>
                <w:b/>
                <w:bCs/>
                <w:color w:val="000000"/>
                <w:sz w:val="18"/>
                <w:szCs w:val="18"/>
                <w:lang w:eastAsia="en-GB"/>
              </w:rPr>
            </w:pPr>
            <w:r w:rsidRPr="000C5941">
              <w:rPr>
                <w:b/>
                <w:bCs/>
                <w:color w:val="000000"/>
                <w:sz w:val="18"/>
                <w:szCs w:val="18"/>
              </w:rPr>
              <w:t>(</w:t>
            </w:r>
            <w:r>
              <w:rPr>
                <w:b/>
                <w:bCs/>
                <w:color w:val="000000"/>
                <w:sz w:val="18"/>
                <w:szCs w:val="18"/>
              </w:rPr>
              <w:t>417,073</w:t>
            </w:r>
            <w:r w:rsidRPr="000C5941">
              <w:rPr>
                <w:b/>
                <w:bCs/>
                <w:color w:val="000000"/>
                <w:sz w:val="18"/>
                <w:szCs w:val="18"/>
              </w:rPr>
              <w:t>)</w:t>
            </w:r>
          </w:p>
        </w:tc>
        <w:tc>
          <w:tcPr>
            <w:tcW w:w="1560" w:type="dxa"/>
            <w:tcBorders>
              <w:top w:val="single" w:sz="4" w:space="0" w:color="auto"/>
              <w:left w:val="nil"/>
              <w:bottom w:val="double" w:sz="6" w:space="0" w:color="auto"/>
              <w:right w:val="nil"/>
            </w:tcBorders>
            <w:shd w:val="clear" w:color="auto" w:fill="auto"/>
            <w:noWrap/>
            <w:vAlign w:val="bottom"/>
            <w:hideMark/>
          </w:tcPr>
          <w:p w14:paraId="26F0DD56" w14:textId="40FF6A5D" w:rsidR="000C5941" w:rsidRPr="000C5941" w:rsidRDefault="000C5941" w:rsidP="00926896">
            <w:pPr>
              <w:jc w:val="right"/>
              <w:rPr>
                <w:b/>
                <w:bCs/>
                <w:color w:val="000000"/>
                <w:sz w:val="18"/>
                <w:szCs w:val="18"/>
                <w:lang w:eastAsia="en-GB"/>
              </w:rPr>
            </w:pPr>
            <w:r>
              <w:rPr>
                <w:b/>
                <w:bCs/>
                <w:color w:val="000000"/>
                <w:sz w:val="18"/>
                <w:szCs w:val="18"/>
              </w:rPr>
              <w:t>20,932,774</w:t>
            </w:r>
            <w:r w:rsidRPr="000C5941">
              <w:rPr>
                <w:b/>
                <w:bCs/>
                <w:color w:val="000000"/>
                <w:sz w:val="18"/>
                <w:szCs w:val="18"/>
              </w:rPr>
              <w:t xml:space="preserve"> </w:t>
            </w:r>
          </w:p>
        </w:tc>
      </w:tr>
    </w:tbl>
    <w:p w14:paraId="1B9680EA" w14:textId="77777777" w:rsidR="000C5941" w:rsidRDefault="000C5941" w:rsidP="00FE53E7">
      <w:pPr>
        <w:spacing w:before="120" w:after="120"/>
        <w:rPr>
          <w:sz w:val="18"/>
          <w:szCs w:val="18"/>
        </w:rPr>
        <w:sectPr w:rsidR="000C5941" w:rsidSect="000C5941">
          <w:pgSz w:w="16838" w:h="11906" w:orient="landscape" w:code="9"/>
          <w:pgMar w:top="1701" w:right="1440" w:bottom="1440" w:left="1440" w:header="709" w:footer="709" w:gutter="0"/>
          <w:cols w:space="708"/>
          <w:docGrid w:linePitch="360"/>
        </w:sectPr>
      </w:pPr>
    </w:p>
    <w:p w14:paraId="63408FE2" w14:textId="77777777" w:rsidR="000C5941" w:rsidRPr="00EC690A" w:rsidRDefault="000C5941" w:rsidP="00F46C49">
      <w:pPr>
        <w:spacing w:before="120" w:after="120"/>
        <w:jc w:val="both"/>
        <w:rPr>
          <w:sz w:val="18"/>
          <w:szCs w:val="18"/>
        </w:rPr>
      </w:pPr>
      <w:r w:rsidRPr="00EC690A">
        <w:rPr>
          <w:b/>
          <w:bCs/>
          <w:i/>
          <w:iCs/>
          <w:sz w:val="18"/>
          <w:szCs w:val="18"/>
        </w:rPr>
        <w:lastRenderedPageBreak/>
        <w:t>Market risk.</w:t>
      </w:r>
      <w:r w:rsidRPr="00EC690A">
        <w:rPr>
          <w:sz w:val="18"/>
          <w:szCs w:val="18"/>
        </w:rPr>
        <w:t xml:space="preserve"> The Company takes on exposure to market risks. Market risks arise from open positions in interest rate, currency and equity products, all of which are exposed to general and specific market movements. </w:t>
      </w:r>
      <w:r w:rsidRPr="00EC690A">
        <w:rPr>
          <w:sz w:val="18"/>
          <w:szCs w:val="18"/>
          <w:shd w:val="clear" w:color="auto" w:fill="FFFFFF"/>
        </w:rPr>
        <w:t>The management</w:t>
      </w:r>
      <w:r w:rsidRPr="00EC690A">
        <w:rPr>
          <w:sz w:val="18"/>
          <w:szCs w:val="18"/>
        </w:rPr>
        <w:t xml:space="preserve"> sets acceptable risk limits and monitors them on a regular basis. However, the use of this approach does not prevent losses beyond these limits in the event of more significant market movements.</w:t>
      </w:r>
    </w:p>
    <w:p w14:paraId="3EDCABFD" w14:textId="77777777" w:rsidR="000C5941" w:rsidRPr="00EC690A" w:rsidRDefault="000C5941" w:rsidP="00F46C49">
      <w:pPr>
        <w:spacing w:before="120" w:after="120"/>
        <w:jc w:val="both"/>
        <w:rPr>
          <w:sz w:val="18"/>
          <w:szCs w:val="18"/>
        </w:rPr>
      </w:pPr>
      <w:r w:rsidRPr="00EC690A">
        <w:rPr>
          <w:sz w:val="18"/>
          <w:szCs w:val="18"/>
        </w:rPr>
        <w:t>The objective of market risk management is to keep the exposure to market risk within the acceptable limits assuring optimal yields for accepted risk</w:t>
      </w:r>
      <w:r w:rsidRPr="00EC690A">
        <w:rPr>
          <w:sz w:val="18"/>
          <w:szCs w:val="18"/>
          <w:lang w:eastAsia="en-GB"/>
        </w:rPr>
        <w:t xml:space="preserve">. </w:t>
      </w:r>
      <w:r w:rsidRPr="00EC690A">
        <w:rPr>
          <w:sz w:val="18"/>
          <w:szCs w:val="18"/>
        </w:rPr>
        <w:t xml:space="preserve">The market risk is assessed by the Company. </w:t>
      </w:r>
    </w:p>
    <w:p w14:paraId="61F37B90" w14:textId="2D0A4901" w:rsidR="000C5941" w:rsidRDefault="000C5941" w:rsidP="00F46C49">
      <w:pPr>
        <w:spacing w:before="120" w:after="120"/>
        <w:jc w:val="both"/>
        <w:rPr>
          <w:sz w:val="18"/>
          <w:szCs w:val="18"/>
        </w:rPr>
      </w:pPr>
      <w:r w:rsidRPr="00EC690A">
        <w:rPr>
          <w:b/>
          <w:i/>
          <w:sz w:val="18"/>
          <w:szCs w:val="18"/>
        </w:rPr>
        <w:t xml:space="preserve">Geographical risk. </w:t>
      </w:r>
      <w:r w:rsidRPr="00EC690A">
        <w:rPr>
          <w:sz w:val="18"/>
          <w:szCs w:val="18"/>
        </w:rPr>
        <w:t>All receivables from reinsurance business as at 31 December 201</w:t>
      </w:r>
      <w:r>
        <w:rPr>
          <w:sz w:val="18"/>
          <w:szCs w:val="18"/>
        </w:rPr>
        <w:t>9 and 2018</w:t>
      </w:r>
      <w:r w:rsidRPr="00EC690A">
        <w:rPr>
          <w:sz w:val="18"/>
          <w:szCs w:val="18"/>
        </w:rPr>
        <w:t xml:space="preserve"> </w:t>
      </w:r>
      <w:proofErr w:type="gramStart"/>
      <w:r w:rsidRPr="00EC690A">
        <w:rPr>
          <w:sz w:val="18"/>
          <w:szCs w:val="18"/>
          <w:shd w:val="clear" w:color="auto" w:fill="FFFFFF"/>
        </w:rPr>
        <w:t>are located in</w:t>
      </w:r>
      <w:proofErr w:type="gramEnd"/>
      <w:r w:rsidRPr="00EC690A">
        <w:rPr>
          <w:sz w:val="18"/>
          <w:szCs w:val="18"/>
          <w:shd w:val="clear" w:color="auto" w:fill="FFFFFF"/>
        </w:rPr>
        <w:t xml:space="preserve"> Azerbaijan</w:t>
      </w:r>
      <w:r>
        <w:rPr>
          <w:sz w:val="18"/>
          <w:szCs w:val="18"/>
        </w:rPr>
        <w:t xml:space="preserve">. </w:t>
      </w:r>
      <w:r w:rsidRPr="00EC690A">
        <w:rPr>
          <w:sz w:val="18"/>
          <w:szCs w:val="18"/>
          <w:shd w:val="clear" w:color="auto" w:fill="FFFFFF"/>
        </w:rPr>
        <w:t xml:space="preserve">All sizeable liabilities of the Company </w:t>
      </w:r>
      <w:proofErr w:type="gramStart"/>
      <w:r w:rsidRPr="00EC690A">
        <w:rPr>
          <w:sz w:val="18"/>
          <w:szCs w:val="18"/>
          <w:shd w:val="clear" w:color="auto" w:fill="FFFFFF"/>
        </w:rPr>
        <w:t>are located in</w:t>
      </w:r>
      <w:proofErr w:type="gramEnd"/>
      <w:r w:rsidRPr="00EC690A">
        <w:rPr>
          <w:sz w:val="18"/>
          <w:szCs w:val="18"/>
          <w:shd w:val="clear" w:color="auto" w:fill="FFFFFF"/>
        </w:rPr>
        <w:t xml:space="preserve"> Azerbaijan.</w:t>
      </w:r>
      <w:r w:rsidRPr="00EC690A">
        <w:rPr>
          <w:sz w:val="18"/>
          <w:szCs w:val="18"/>
        </w:rPr>
        <w:t xml:space="preserve"> </w:t>
      </w:r>
    </w:p>
    <w:p w14:paraId="5AB447BB" w14:textId="77777777" w:rsidR="004A0C6E" w:rsidRDefault="00F46C49" w:rsidP="00F46C49">
      <w:pPr>
        <w:spacing w:before="120" w:after="120"/>
        <w:jc w:val="both"/>
        <w:rPr>
          <w:sz w:val="18"/>
          <w:szCs w:val="18"/>
          <w:shd w:val="clear" w:color="auto" w:fill="FFFFFF"/>
        </w:rPr>
      </w:pPr>
      <w:r>
        <w:rPr>
          <w:b/>
          <w:i/>
          <w:sz w:val="18"/>
          <w:szCs w:val="18"/>
        </w:rPr>
        <w:t>Foreign c</w:t>
      </w:r>
      <w:r w:rsidR="000C5941" w:rsidRPr="00EC690A">
        <w:rPr>
          <w:b/>
          <w:i/>
          <w:sz w:val="18"/>
          <w:szCs w:val="18"/>
        </w:rPr>
        <w:t>urrency risk.</w:t>
      </w:r>
      <w:r w:rsidR="000C5941" w:rsidRPr="00EC690A">
        <w:rPr>
          <w:sz w:val="18"/>
          <w:szCs w:val="18"/>
        </w:rPr>
        <w:t xml:space="preserve"> </w:t>
      </w:r>
      <w:r w:rsidR="000C5941" w:rsidRPr="00EC690A">
        <w:rPr>
          <w:sz w:val="18"/>
          <w:szCs w:val="18"/>
          <w:shd w:val="clear" w:color="auto" w:fill="FFFFFF"/>
        </w:rPr>
        <w:t xml:space="preserve">The Company </w:t>
      </w:r>
      <w:r w:rsidR="00EB4FC3">
        <w:rPr>
          <w:sz w:val="18"/>
          <w:szCs w:val="18"/>
          <w:shd w:val="clear" w:color="auto" w:fill="FFFFFF"/>
        </w:rPr>
        <w:t>under</w:t>
      </w:r>
      <w:r w:rsidR="000C5941" w:rsidRPr="00EC690A">
        <w:rPr>
          <w:sz w:val="18"/>
          <w:szCs w:val="18"/>
          <w:shd w:val="clear" w:color="auto" w:fill="FFFFFF"/>
        </w:rPr>
        <w:t xml:space="preserve">takes </w:t>
      </w:r>
      <w:r w:rsidR="00EB4FC3">
        <w:rPr>
          <w:sz w:val="18"/>
          <w:szCs w:val="18"/>
          <w:shd w:val="clear" w:color="auto" w:fill="FFFFFF"/>
        </w:rPr>
        <w:t xml:space="preserve">transactions denominated in foreign currencies; consequently, exposures to exchange rate fluctuation arise. Exchange exposure are managed within approved policy </w:t>
      </w:r>
      <w:r w:rsidR="004A0C6E">
        <w:rPr>
          <w:sz w:val="18"/>
          <w:szCs w:val="18"/>
          <w:shd w:val="clear" w:color="auto" w:fill="FFFFFF"/>
        </w:rPr>
        <w:t>parameters</w:t>
      </w:r>
      <w:r w:rsidR="00EB4FC3">
        <w:rPr>
          <w:sz w:val="18"/>
          <w:szCs w:val="18"/>
          <w:shd w:val="clear" w:color="auto" w:fill="FFFFFF"/>
        </w:rPr>
        <w:t xml:space="preserve"> utilising forward </w:t>
      </w:r>
      <w:r w:rsidR="004A0C6E">
        <w:rPr>
          <w:sz w:val="18"/>
          <w:szCs w:val="18"/>
          <w:shd w:val="clear" w:color="auto" w:fill="FFFFFF"/>
        </w:rPr>
        <w:t>foreign exchange contracts.</w:t>
      </w:r>
    </w:p>
    <w:p w14:paraId="54D83D25" w14:textId="06D1B0AC" w:rsidR="000C5941" w:rsidRPr="00EC690A" w:rsidRDefault="000C5941" w:rsidP="000C5941">
      <w:pPr>
        <w:spacing w:before="120" w:after="120"/>
        <w:jc w:val="both"/>
        <w:rPr>
          <w:sz w:val="18"/>
          <w:szCs w:val="18"/>
        </w:rPr>
      </w:pPr>
      <w:r w:rsidRPr="00EC690A">
        <w:rPr>
          <w:sz w:val="18"/>
          <w:szCs w:val="18"/>
        </w:rPr>
        <w:t xml:space="preserve">The table below summarises the Company’s exposure to foreign currency exchange rate risk as at </w:t>
      </w:r>
      <w:r w:rsidRPr="00EC690A">
        <w:rPr>
          <w:sz w:val="18"/>
          <w:szCs w:val="18"/>
        </w:rPr>
        <w:br/>
        <w:t>31 December 201</w:t>
      </w:r>
      <w:r w:rsidR="004A0C6E">
        <w:rPr>
          <w:sz w:val="18"/>
          <w:szCs w:val="18"/>
        </w:rPr>
        <w:t>9:</w:t>
      </w:r>
      <w:r w:rsidRPr="00EC690A">
        <w:rPr>
          <w:sz w:val="18"/>
          <w:szCs w:val="18"/>
        </w:rPr>
        <w:t xml:space="preserve"> </w:t>
      </w:r>
    </w:p>
    <w:tbl>
      <w:tblPr>
        <w:tblW w:w="5051" w:type="pct"/>
        <w:tblLayout w:type="fixed"/>
        <w:tblLook w:val="04A0" w:firstRow="1" w:lastRow="0" w:firstColumn="1" w:lastColumn="0" w:noHBand="0" w:noVBand="1"/>
      </w:tblPr>
      <w:tblGrid>
        <w:gridCol w:w="3545"/>
        <w:gridCol w:w="1700"/>
        <w:gridCol w:w="1767"/>
        <w:gridCol w:w="1842"/>
      </w:tblGrid>
      <w:tr w:rsidR="000C5941" w:rsidRPr="000C5941" w14:paraId="0B092DE2" w14:textId="77777777" w:rsidTr="00926896">
        <w:trPr>
          <w:trHeight w:val="300"/>
        </w:trPr>
        <w:tc>
          <w:tcPr>
            <w:tcW w:w="2002" w:type="pct"/>
            <w:tcBorders>
              <w:top w:val="nil"/>
              <w:left w:val="nil"/>
              <w:bottom w:val="single" w:sz="4" w:space="0" w:color="auto"/>
              <w:right w:val="nil"/>
            </w:tcBorders>
            <w:shd w:val="clear" w:color="auto" w:fill="auto"/>
            <w:noWrap/>
            <w:vAlign w:val="bottom"/>
            <w:hideMark/>
          </w:tcPr>
          <w:p w14:paraId="10AE3D6F"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 </w:t>
            </w:r>
          </w:p>
        </w:tc>
        <w:tc>
          <w:tcPr>
            <w:tcW w:w="960" w:type="pct"/>
            <w:tcBorders>
              <w:top w:val="nil"/>
              <w:left w:val="nil"/>
              <w:bottom w:val="single" w:sz="4" w:space="0" w:color="auto"/>
              <w:right w:val="nil"/>
            </w:tcBorders>
            <w:shd w:val="clear" w:color="auto" w:fill="auto"/>
            <w:noWrap/>
            <w:vAlign w:val="bottom"/>
            <w:hideMark/>
          </w:tcPr>
          <w:p w14:paraId="0777968E"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AZN</w:t>
            </w:r>
          </w:p>
        </w:tc>
        <w:tc>
          <w:tcPr>
            <w:tcW w:w="998" w:type="pct"/>
            <w:tcBorders>
              <w:top w:val="nil"/>
              <w:left w:val="nil"/>
              <w:bottom w:val="single" w:sz="4" w:space="0" w:color="auto"/>
              <w:right w:val="nil"/>
            </w:tcBorders>
            <w:shd w:val="clear" w:color="auto" w:fill="auto"/>
            <w:noWrap/>
            <w:vAlign w:val="bottom"/>
            <w:hideMark/>
          </w:tcPr>
          <w:p w14:paraId="11D78727"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USD</w:t>
            </w:r>
          </w:p>
        </w:tc>
        <w:tc>
          <w:tcPr>
            <w:tcW w:w="1040" w:type="pct"/>
            <w:tcBorders>
              <w:top w:val="nil"/>
              <w:left w:val="nil"/>
              <w:bottom w:val="single" w:sz="4" w:space="0" w:color="auto"/>
              <w:right w:val="nil"/>
            </w:tcBorders>
            <w:shd w:val="clear" w:color="auto" w:fill="auto"/>
            <w:noWrap/>
            <w:vAlign w:val="bottom"/>
            <w:hideMark/>
          </w:tcPr>
          <w:p w14:paraId="1468942D" w14:textId="77777777" w:rsidR="000C5941" w:rsidRPr="000C5941" w:rsidRDefault="000C5941" w:rsidP="00926896">
            <w:pPr>
              <w:jc w:val="right"/>
              <w:rPr>
                <w:b/>
                <w:bCs/>
                <w:color w:val="000000"/>
                <w:sz w:val="18"/>
                <w:szCs w:val="18"/>
                <w:lang w:eastAsia="en-GB"/>
              </w:rPr>
            </w:pPr>
            <w:r w:rsidRPr="000C5941">
              <w:rPr>
                <w:b/>
                <w:bCs/>
                <w:color w:val="000000"/>
                <w:sz w:val="18"/>
                <w:szCs w:val="18"/>
                <w:lang w:eastAsia="en-GB"/>
              </w:rPr>
              <w:t>Total</w:t>
            </w:r>
          </w:p>
        </w:tc>
      </w:tr>
      <w:tr w:rsidR="000C5941" w:rsidRPr="000C5941" w14:paraId="74C55305" w14:textId="77777777" w:rsidTr="00926896">
        <w:trPr>
          <w:trHeight w:val="330"/>
        </w:trPr>
        <w:tc>
          <w:tcPr>
            <w:tcW w:w="2002" w:type="pct"/>
            <w:tcBorders>
              <w:top w:val="nil"/>
              <w:left w:val="nil"/>
              <w:bottom w:val="nil"/>
              <w:right w:val="nil"/>
            </w:tcBorders>
            <w:shd w:val="clear" w:color="auto" w:fill="auto"/>
            <w:noWrap/>
            <w:vAlign w:val="bottom"/>
            <w:hideMark/>
          </w:tcPr>
          <w:p w14:paraId="7A31FF08" w14:textId="77777777" w:rsidR="000C5941" w:rsidRPr="000C5941" w:rsidRDefault="000C5941" w:rsidP="00926896">
            <w:pPr>
              <w:rPr>
                <w:b/>
                <w:bCs/>
                <w:color w:val="000000"/>
                <w:sz w:val="18"/>
                <w:szCs w:val="18"/>
                <w:lang w:eastAsia="en-GB"/>
              </w:rPr>
            </w:pPr>
            <w:r w:rsidRPr="000C5941">
              <w:rPr>
                <w:b/>
                <w:bCs/>
                <w:color w:val="000000"/>
                <w:sz w:val="18"/>
                <w:szCs w:val="18"/>
                <w:lang w:eastAsia="en-GB"/>
              </w:rPr>
              <w:t>Assets</w:t>
            </w:r>
          </w:p>
        </w:tc>
        <w:tc>
          <w:tcPr>
            <w:tcW w:w="960" w:type="pct"/>
            <w:tcBorders>
              <w:top w:val="nil"/>
              <w:left w:val="nil"/>
              <w:bottom w:val="nil"/>
              <w:right w:val="nil"/>
            </w:tcBorders>
            <w:shd w:val="clear" w:color="auto" w:fill="auto"/>
            <w:noWrap/>
            <w:vAlign w:val="bottom"/>
            <w:hideMark/>
          </w:tcPr>
          <w:p w14:paraId="6B11BE21" w14:textId="77777777" w:rsidR="000C5941" w:rsidRPr="000C5941" w:rsidRDefault="000C5941" w:rsidP="00926896">
            <w:pPr>
              <w:rPr>
                <w:color w:val="000000"/>
                <w:sz w:val="18"/>
                <w:szCs w:val="18"/>
                <w:lang w:eastAsia="en-GB"/>
              </w:rPr>
            </w:pPr>
          </w:p>
        </w:tc>
        <w:tc>
          <w:tcPr>
            <w:tcW w:w="998" w:type="pct"/>
            <w:tcBorders>
              <w:top w:val="nil"/>
              <w:left w:val="nil"/>
              <w:bottom w:val="nil"/>
              <w:right w:val="nil"/>
            </w:tcBorders>
            <w:shd w:val="clear" w:color="auto" w:fill="auto"/>
            <w:noWrap/>
            <w:vAlign w:val="bottom"/>
            <w:hideMark/>
          </w:tcPr>
          <w:p w14:paraId="22B7EB4E" w14:textId="77777777" w:rsidR="000C5941" w:rsidRPr="000C5941" w:rsidRDefault="000C5941" w:rsidP="00926896">
            <w:pPr>
              <w:rPr>
                <w:color w:val="000000"/>
                <w:sz w:val="18"/>
                <w:szCs w:val="18"/>
                <w:lang w:eastAsia="en-GB"/>
              </w:rPr>
            </w:pPr>
          </w:p>
        </w:tc>
        <w:tc>
          <w:tcPr>
            <w:tcW w:w="1040" w:type="pct"/>
            <w:tcBorders>
              <w:top w:val="nil"/>
              <w:left w:val="nil"/>
              <w:bottom w:val="nil"/>
              <w:right w:val="nil"/>
            </w:tcBorders>
            <w:shd w:val="clear" w:color="auto" w:fill="auto"/>
            <w:noWrap/>
            <w:vAlign w:val="bottom"/>
            <w:hideMark/>
          </w:tcPr>
          <w:p w14:paraId="04CAD7CC" w14:textId="77777777" w:rsidR="000C5941" w:rsidRPr="000C5941" w:rsidRDefault="000C5941" w:rsidP="00926896">
            <w:pPr>
              <w:rPr>
                <w:color w:val="000000"/>
                <w:sz w:val="18"/>
                <w:szCs w:val="18"/>
                <w:lang w:eastAsia="en-GB"/>
              </w:rPr>
            </w:pPr>
          </w:p>
        </w:tc>
      </w:tr>
      <w:tr w:rsidR="000C5941" w:rsidRPr="000C5941" w14:paraId="79F78A01" w14:textId="77777777" w:rsidTr="00D23DAC">
        <w:trPr>
          <w:trHeight w:val="300"/>
        </w:trPr>
        <w:tc>
          <w:tcPr>
            <w:tcW w:w="2002" w:type="pct"/>
            <w:tcBorders>
              <w:top w:val="nil"/>
              <w:left w:val="nil"/>
              <w:bottom w:val="nil"/>
              <w:right w:val="nil"/>
            </w:tcBorders>
            <w:shd w:val="clear" w:color="auto" w:fill="auto"/>
            <w:noWrap/>
            <w:vAlign w:val="bottom"/>
            <w:hideMark/>
          </w:tcPr>
          <w:p w14:paraId="510EE392" w14:textId="77777777" w:rsidR="000C5941" w:rsidRPr="000C5941" w:rsidRDefault="000C5941" w:rsidP="00926896">
            <w:pPr>
              <w:rPr>
                <w:color w:val="000000"/>
                <w:sz w:val="18"/>
                <w:szCs w:val="18"/>
                <w:lang w:eastAsia="en-GB"/>
              </w:rPr>
            </w:pPr>
            <w:r w:rsidRPr="000C5941">
              <w:rPr>
                <w:color w:val="000000"/>
                <w:sz w:val="18"/>
                <w:szCs w:val="18"/>
                <w:lang w:eastAsia="en-GB"/>
              </w:rPr>
              <w:t>Cash and cash equivalents</w:t>
            </w:r>
          </w:p>
        </w:tc>
        <w:tc>
          <w:tcPr>
            <w:tcW w:w="960" w:type="pct"/>
            <w:tcBorders>
              <w:top w:val="nil"/>
              <w:left w:val="nil"/>
              <w:bottom w:val="nil"/>
              <w:right w:val="nil"/>
            </w:tcBorders>
            <w:shd w:val="clear" w:color="auto" w:fill="auto"/>
            <w:noWrap/>
            <w:vAlign w:val="bottom"/>
          </w:tcPr>
          <w:p w14:paraId="433D4283" w14:textId="1737BD4C" w:rsidR="000C5941" w:rsidRPr="000C5941" w:rsidRDefault="00B344C3" w:rsidP="00926896">
            <w:pPr>
              <w:jc w:val="right"/>
              <w:rPr>
                <w:color w:val="000000"/>
                <w:sz w:val="18"/>
                <w:szCs w:val="18"/>
                <w:lang w:eastAsia="en-GB"/>
              </w:rPr>
            </w:pPr>
            <w:r>
              <w:rPr>
                <w:color w:val="000000"/>
                <w:sz w:val="18"/>
                <w:szCs w:val="18"/>
                <w:lang w:eastAsia="en-GB"/>
              </w:rPr>
              <w:t>2,735,543</w:t>
            </w:r>
          </w:p>
        </w:tc>
        <w:tc>
          <w:tcPr>
            <w:tcW w:w="998" w:type="pct"/>
            <w:tcBorders>
              <w:top w:val="nil"/>
              <w:left w:val="nil"/>
              <w:bottom w:val="nil"/>
              <w:right w:val="nil"/>
            </w:tcBorders>
            <w:shd w:val="clear" w:color="auto" w:fill="auto"/>
            <w:noWrap/>
            <w:vAlign w:val="bottom"/>
          </w:tcPr>
          <w:p w14:paraId="202D79B4" w14:textId="6553EE0E" w:rsidR="000C5941" w:rsidRPr="000C5941" w:rsidRDefault="00B344C3" w:rsidP="00926896">
            <w:pPr>
              <w:jc w:val="right"/>
              <w:rPr>
                <w:color w:val="000000"/>
                <w:sz w:val="18"/>
                <w:szCs w:val="18"/>
                <w:lang w:eastAsia="en-GB"/>
              </w:rPr>
            </w:pPr>
            <w:r>
              <w:rPr>
                <w:color w:val="000000"/>
                <w:sz w:val="18"/>
                <w:szCs w:val="18"/>
                <w:lang w:eastAsia="en-GB"/>
              </w:rPr>
              <w:t>6,454,960</w:t>
            </w:r>
          </w:p>
        </w:tc>
        <w:tc>
          <w:tcPr>
            <w:tcW w:w="1040" w:type="pct"/>
            <w:tcBorders>
              <w:top w:val="nil"/>
              <w:left w:val="nil"/>
              <w:bottom w:val="nil"/>
              <w:right w:val="nil"/>
            </w:tcBorders>
            <w:shd w:val="clear" w:color="auto" w:fill="auto"/>
            <w:noWrap/>
            <w:vAlign w:val="bottom"/>
          </w:tcPr>
          <w:p w14:paraId="0BA2A744" w14:textId="311A9EE2" w:rsidR="000C5941" w:rsidRPr="000C5941" w:rsidRDefault="00B344C3" w:rsidP="00926896">
            <w:pPr>
              <w:jc w:val="right"/>
              <w:rPr>
                <w:color w:val="000000"/>
                <w:sz w:val="18"/>
                <w:szCs w:val="18"/>
                <w:lang w:eastAsia="en-GB"/>
              </w:rPr>
            </w:pPr>
            <w:r>
              <w:rPr>
                <w:color w:val="000000"/>
                <w:sz w:val="18"/>
                <w:szCs w:val="18"/>
                <w:lang w:eastAsia="en-GB"/>
              </w:rPr>
              <w:t>9,190,503</w:t>
            </w:r>
          </w:p>
        </w:tc>
      </w:tr>
      <w:tr w:rsidR="000C5941" w:rsidRPr="000C5941" w14:paraId="13B19241" w14:textId="77777777" w:rsidTr="00D23DAC">
        <w:trPr>
          <w:trHeight w:val="300"/>
        </w:trPr>
        <w:tc>
          <w:tcPr>
            <w:tcW w:w="2002" w:type="pct"/>
            <w:tcBorders>
              <w:top w:val="nil"/>
              <w:left w:val="nil"/>
              <w:bottom w:val="nil"/>
              <w:right w:val="nil"/>
            </w:tcBorders>
            <w:shd w:val="clear" w:color="auto" w:fill="auto"/>
            <w:noWrap/>
            <w:vAlign w:val="bottom"/>
            <w:hideMark/>
          </w:tcPr>
          <w:p w14:paraId="2876524F" w14:textId="77777777" w:rsidR="000C5941" w:rsidRPr="000C5941" w:rsidRDefault="000C5941" w:rsidP="00926896">
            <w:pPr>
              <w:rPr>
                <w:color w:val="000000"/>
                <w:sz w:val="18"/>
                <w:szCs w:val="18"/>
                <w:lang w:eastAsia="en-GB"/>
              </w:rPr>
            </w:pPr>
            <w:r w:rsidRPr="000C5941">
              <w:rPr>
                <w:color w:val="000000"/>
                <w:sz w:val="18"/>
                <w:szCs w:val="18"/>
                <w:lang w:eastAsia="en-GB"/>
              </w:rPr>
              <w:t>Deposits with banks</w:t>
            </w:r>
          </w:p>
        </w:tc>
        <w:tc>
          <w:tcPr>
            <w:tcW w:w="960" w:type="pct"/>
            <w:tcBorders>
              <w:top w:val="nil"/>
              <w:left w:val="nil"/>
              <w:bottom w:val="nil"/>
              <w:right w:val="nil"/>
            </w:tcBorders>
            <w:shd w:val="clear" w:color="auto" w:fill="auto"/>
            <w:noWrap/>
            <w:vAlign w:val="bottom"/>
          </w:tcPr>
          <w:p w14:paraId="5E40639C" w14:textId="6FAAED33" w:rsidR="000C5941" w:rsidRPr="000C5941" w:rsidRDefault="00B344C3" w:rsidP="00926896">
            <w:pPr>
              <w:jc w:val="right"/>
              <w:rPr>
                <w:color w:val="000000"/>
                <w:sz w:val="18"/>
                <w:szCs w:val="18"/>
                <w:lang w:eastAsia="en-GB"/>
              </w:rPr>
            </w:pPr>
            <w:r>
              <w:rPr>
                <w:color w:val="000000"/>
                <w:sz w:val="18"/>
                <w:szCs w:val="18"/>
                <w:lang w:eastAsia="en-GB"/>
              </w:rPr>
              <w:t>2,036,089</w:t>
            </w:r>
          </w:p>
        </w:tc>
        <w:tc>
          <w:tcPr>
            <w:tcW w:w="998" w:type="pct"/>
            <w:tcBorders>
              <w:top w:val="nil"/>
              <w:left w:val="nil"/>
              <w:bottom w:val="nil"/>
              <w:right w:val="nil"/>
            </w:tcBorders>
            <w:shd w:val="clear" w:color="auto" w:fill="auto"/>
            <w:noWrap/>
            <w:vAlign w:val="bottom"/>
          </w:tcPr>
          <w:p w14:paraId="673A3960" w14:textId="317B066B" w:rsidR="000C5941" w:rsidRPr="000C5941" w:rsidRDefault="00B344C3" w:rsidP="00926896">
            <w:pPr>
              <w:jc w:val="right"/>
              <w:rPr>
                <w:color w:val="000000"/>
                <w:sz w:val="18"/>
                <w:szCs w:val="18"/>
                <w:lang w:eastAsia="en-GB"/>
              </w:rPr>
            </w:pPr>
            <w:r>
              <w:rPr>
                <w:color w:val="000000"/>
                <w:sz w:val="18"/>
                <w:szCs w:val="18"/>
                <w:lang w:eastAsia="en-GB"/>
              </w:rPr>
              <w:t>6,800,000</w:t>
            </w:r>
          </w:p>
        </w:tc>
        <w:tc>
          <w:tcPr>
            <w:tcW w:w="1040" w:type="pct"/>
            <w:tcBorders>
              <w:top w:val="nil"/>
              <w:left w:val="nil"/>
              <w:bottom w:val="nil"/>
              <w:right w:val="nil"/>
            </w:tcBorders>
            <w:shd w:val="clear" w:color="auto" w:fill="auto"/>
            <w:noWrap/>
            <w:vAlign w:val="bottom"/>
          </w:tcPr>
          <w:p w14:paraId="3FB812AF" w14:textId="4AF33FB2" w:rsidR="000C5941" w:rsidRPr="000C5941" w:rsidRDefault="00B344C3" w:rsidP="00926896">
            <w:pPr>
              <w:jc w:val="right"/>
              <w:rPr>
                <w:color w:val="000000"/>
                <w:sz w:val="18"/>
                <w:szCs w:val="18"/>
                <w:lang w:eastAsia="en-GB"/>
              </w:rPr>
            </w:pPr>
            <w:r>
              <w:rPr>
                <w:color w:val="000000"/>
                <w:sz w:val="18"/>
                <w:szCs w:val="18"/>
                <w:lang w:eastAsia="en-GB"/>
              </w:rPr>
              <w:t>8,836,089</w:t>
            </w:r>
          </w:p>
        </w:tc>
      </w:tr>
      <w:tr w:rsidR="000C5941" w:rsidRPr="000C5941" w14:paraId="4CEB9714" w14:textId="77777777" w:rsidTr="00D23DAC">
        <w:trPr>
          <w:trHeight w:val="300"/>
        </w:trPr>
        <w:tc>
          <w:tcPr>
            <w:tcW w:w="2002" w:type="pct"/>
            <w:tcBorders>
              <w:top w:val="nil"/>
              <w:left w:val="nil"/>
              <w:bottom w:val="nil"/>
              <w:right w:val="nil"/>
            </w:tcBorders>
            <w:shd w:val="clear" w:color="auto" w:fill="auto"/>
            <w:noWrap/>
            <w:vAlign w:val="bottom"/>
            <w:hideMark/>
          </w:tcPr>
          <w:p w14:paraId="1E447074" w14:textId="77777777" w:rsidR="000C5941" w:rsidRPr="000C5941" w:rsidRDefault="000C5941" w:rsidP="00926896">
            <w:pPr>
              <w:rPr>
                <w:color w:val="000000"/>
                <w:sz w:val="18"/>
                <w:szCs w:val="18"/>
                <w:lang w:eastAsia="en-GB"/>
              </w:rPr>
            </w:pPr>
            <w:r w:rsidRPr="000C5941">
              <w:rPr>
                <w:color w:val="000000"/>
                <w:sz w:val="18"/>
                <w:szCs w:val="18"/>
                <w:lang w:eastAsia="en-GB"/>
              </w:rPr>
              <w:t>Receivables</w:t>
            </w:r>
          </w:p>
        </w:tc>
        <w:tc>
          <w:tcPr>
            <w:tcW w:w="960" w:type="pct"/>
            <w:tcBorders>
              <w:top w:val="nil"/>
              <w:left w:val="nil"/>
              <w:bottom w:val="nil"/>
              <w:right w:val="nil"/>
            </w:tcBorders>
            <w:shd w:val="clear" w:color="auto" w:fill="auto"/>
            <w:noWrap/>
            <w:vAlign w:val="bottom"/>
          </w:tcPr>
          <w:p w14:paraId="429AC564" w14:textId="185CA61D" w:rsidR="000C5941" w:rsidRPr="000C5941" w:rsidRDefault="00B344C3" w:rsidP="00926896">
            <w:pPr>
              <w:jc w:val="right"/>
              <w:rPr>
                <w:color w:val="000000"/>
                <w:sz w:val="18"/>
                <w:szCs w:val="18"/>
                <w:lang w:eastAsia="en-GB"/>
              </w:rPr>
            </w:pPr>
            <w:r>
              <w:rPr>
                <w:color w:val="000000"/>
                <w:sz w:val="18"/>
                <w:szCs w:val="18"/>
                <w:lang w:eastAsia="en-GB"/>
              </w:rPr>
              <w:t>1,140,368</w:t>
            </w:r>
          </w:p>
        </w:tc>
        <w:tc>
          <w:tcPr>
            <w:tcW w:w="998" w:type="pct"/>
            <w:tcBorders>
              <w:top w:val="nil"/>
              <w:left w:val="nil"/>
              <w:bottom w:val="nil"/>
              <w:right w:val="nil"/>
            </w:tcBorders>
            <w:shd w:val="clear" w:color="auto" w:fill="auto"/>
            <w:noWrap/>
            <w:vAlign w:val="bottom"/>
          </w:tcPr>
          <w:p w14:paraId="46937075" w14:textId="22E577CE" w:rsidR="000C5941" w:rsidRPr="000C5941" w:rsidRDefault="00B344C3" w:rsidP="00926896">
            <w:pPr>
              <w:jc w:val="right"/>
              <w:rPr>
                <w:color w:val="000000"/>
                <w:sz w:val="18"/>
                <w:szCs w:val="18"/>
                <w:lang w:eastAsia="en-GB"/>
              </w:rPr>
            </w:pPr>
            <w:r>
              <w:rPr>
                <w:color w:val="000000"/>
                <w:sz w:val="18"/>
                <w:szCs w:val="18"/>
                <w:lang w:eastAsia="en-GB"/>
              </w:rPr>
              <w:t>155,191</w:t>
            </w:r>
          </w:p>
        </w:tc>
        <w:tc>
          <w:tcPr>
            <w:tcW w:w="1040" w:type="pct"/>
            <w:tcBorders>
              <w:top w:val="nil"/>
              <w:left w:val="nil"/>
              <w:bottom w:val="nil"/>
              <w:right w:val="nil"/>
            </w:tcBorders>
            <w:shd w:val="clear" w:color="auto" w:fill="auto"/>
            <w:noWrap/>
            <w:vAlign w:val="bottom"/>
          </w:tcPr>
          <w:p w14:paraId="214E1E42" w14:textId="74F4D98F" w:rsidR="000C5941" w:rsidRPr="000C5941" w:rsidRDefault="00B344C3" w:rsidP="00926896">
            <w:pPr>
              <w:jc w:val="right"/>
              <w:rPr>
                <w:color w:val="000000"/>
                <w:sz w:val="18"/>
                <w:szCs w:val="18"/>
                <w:lang w:eastAsia="en-GB"/>
              </w:rPr>
            </w:pPr>
            <w:r>
              <w:rPr>
                <w:color w:val="000000"/>
                <w:sz w:val="18"/>
                <w:szCs w:val="18"/>
                <w:lang w:eastAsia="en-GB"/>
              </w:rPr>
              <w:t>1,295,559</w:t>
            </w:r>
          </w:p>
        </w:tc>
      </w:tr>
      <w:tr w:rsidR="000C5941" w:rsidRPr="000C5941" w14:paraId="74F5AB65" w14:textId="77777777" w:rsidTr="00D23DAC">
        <w:trPr>
          <w:trHeight w:val="300"/>
        </w:trPr>
        <w:tc>
          <w:tcPr>
            <w:tcW w:w="2002" w:type="pct"/>
            <w:tcBorders>
              <w:top w:val="nil"/>
              <w:left w:val="nil"/>
              <w:bottom w:val="nil"/>
              <w:right w:val="nil"/>
            </w:tcBorders>
            <w:shd w:val="clear" w:color="auto" w:fill="auto"/>
            <w:noWrap/>
            <w:vAlign w:val="bottom"/>
            <w:hideMark/>
          </w:tcPr>
          <w:p w14:paraId="050FB096" w14:textId="77777777" w:rsidR="000C5941" w:rsidRPr="000C5941" w:rsidRDefault="000C5941" w:rsidP="00926896">
            <w:pPr>
              <w:rPr>
                <w:color w:val="000000"/>
                <w:sz w:val="18"/>
                <w:szCs w:val="18"/>
                <w:lang w:eastAsia="en-GB"/>
              </w:rPr>
            </w:pPr>
            <w:r w:rsidRPr="000C5941">
              <w:rPr>
                <w:color w:val="000000"/>
                <w:sz w:val="18"/>
                <w:szCs w:val="18"/>
                <w:lang w:eastAsia="en-GB"/>
              </w:rPr>
              <w:t>Reinsurance assets</w:t>
            </w:r>
          </w:p>
        </w:tc>
        <w:tc>
          <w:tcPr>
            <w:tcW w:w="960" w:type="pct"/>
            <w:tcBorders>
              <w:top w:val="nil"/>
              <w:left w:val="nil"/>
              <w:bottom w:val="nil"/>
              <w:right w:val="nil"/>
            </w:tcBorders>
            <w:shd w:val="clear" w:color="auto" w:fill="auto"/>
            <w:noWrap/>
            <w:vAlign w:val="bottom"/>
          </w:tcPr>
          <w:p w14:paraId="45F6278F" w14:textId="6C32336B" w:rsidR="000C5941" w:rsidRPr="000C5941" w:rsidRDefault="00B344C3" w:rsidP="00926896">
            <w:pPr>
              <w:jc w:val="right"/>
              <w:rPr>
                <w:color w:val="000000"/>
                <w:sz w:val="18"/>
                <w:szCs w:val="18"/>
                <w:lang w:eastAsia="en-GB"/>
              </w:rPr>
            </w:pPr>
            <w:r>
              <w:rPr>
                <w:color w:val="000000"/>
                <w:sz w:val="18"/>
                <w:szCs w:val="18"/>
                <w:lang w:eastAsia="en-GB"/>
              </w:rPr>
              <w:t>1,449,864</w:t>
            </w:r>
          </w:p>
        </w:tc>
        <w:tc>
          <w:tcPr>
            <w:tcW w:w="998" w:type="pct"/>
            <w:tcBorders>
              <w:top w:val="nil"/>
              <w:left w:val="nil"/>
              <w:bottom w:val="nil"/>
              <w:right w:val="nil"/>
            </w:tcBorders>
            <w:shd w:val="clear" w:color="auto" w:fill="auto"/>
            <w:noWrap/>
            <w:vAlign w:val="bottom"/>
          </w:tcPr>
          <w:p w14:paraId="0F587437" w14:textId="5CEB8F79" w:rsidR="000C5941" w:rsidRPr="000C5941" w:rsidRDefault="00B344C3" w:rsidP="00926896">
            <w:pPr>
              <w:jc w:val="right"/>
              <w:rPr>
                <w:color w:val="000000"/>
                <w:sz w:val="18"/>
                <w:szCs w:val="18"/>
                <w:lang w:eastAsia="en-GB"/>
              </w:rPr>
            </w:pPr>
            <w:r>
              <w:rPr>
                <w:color w:val="000000"/>
                <w:sz w:val="18"/>
                <w:szCs w:val="18"/>
                <w:lang w:eastAsia="en-GB"/>
              </w:rPr>
              <w:t>-</w:t>
            </w:r>
          </w:p>
        </w:tc>
        <w:tc>
          <w:tcPr>
            <w:tcW w:w="1040" w:type="pct"/>
            <w:tcBorders>
              <w:top w:val="nil"/>
              <w:left w:val="nil"/>
              <w:bottom w:val="nil"/>
              <w:right w:val="nil"/>
            </w:tcBorders>
            <w:shd w:val="clear" w:color="auto" w:fill="auto"/>
            <w:noWrap/>
            <w:vAlign w:val="bottom"/>
          </w:tcPr>
          <w:p w14:paraId="4F6F1E99" w14:textId="5E3E77F2" w:rsidR="000C5941" w:rsidRPr="000C5941" w:rsidRDefault="00B344C3" w:rsidP="00926896">
            <w:pPr>
              <w:jc w:val="right"/>
              <w:rPr>
                <w:color w:val="000000"/>
                <w:sz w:val="18"/>
                <w:szCs w:val="18"/>
                <w:lang w:eastAsia="en-GB"/>
              </w:rPr>
            </w:pPr>
            <w:r>
              <w:rPr>
                <w:color w:val="000000"/>
                <w:sz w:val="18"/>
                <w:szCs w:val="18"/>
                <w:lang w:eastAsia="en-GB"/>
              </w:rPr>
              <w:t>1,449,864</w:t>
            </w:r>
          </w:p>
        </w:tc>
      </w:tr>
      <w:tr w:rsidR="000C5941" w:rsidRPr="000C5941" w14:paraId="5C05B35F" w14:textId="77777777" w:rsidTr="00D23DAC">
        <w:trPr>
          <w:trHeight w:val="315"/>
        </w:trPr>
        <w:tc>
          <w:tcPr>
            <w:tcW w:w="2002" w:type="pct"/>
            <w:tcBorders>
              <w:top w:val="single" w:sz="4" w:space="0" w:color="auto"/>
              <w:left w:val="nil"/>
              <w:bottom w:val="double" w:sz="6" w:space="0" w:color="auto"/>
              <w:right w:val="nil"/>
            </w:tcBorders>
            <w:shd w:val="clear" w:color="auto" w:fill="auto"/>
            <w:noWrap/>
            <w:vAlign w:val="bottom"/>
            <w:hideMark/>
          </w:tcPr>
          <w:p w14:paraId="4E29CE32" w14:textId="2A56AA84" w:rsidR="000C5941" w:rsidRPr="000C5941" w:rsidRDefault="000C5941" w:rsidP="00926896">
            <w:pPr>
              <w:rPr>
                <w:b/>
                <w:bCs/>
                <w:color w:val="000000"/>
                <w:sz w:val="18"/>
                <w:szCs w:val="18"/>
                <w:lang w:eastAsia="en-GB"/>
              </w:rPr>
            </w:pPr>
            <w:r w:rsidRPr="000C5941">
              <w:rPr>
                <w:b/>
                <w:bCs/>
                <w:color w:val="000000"/>
                <w:sz w:val="18"/>
                <w:szCs w:val="18"/>
                <w:lang w:eastAsia="en-GB"/>
              </w:rPr>
              <w:t xml:space="preserve">Total </w:t>
            </w:r>
            <w:r w:rsidR="004A0C6E">
              <w:rPr>
                <w:b/>
                <w:bCs/>
                <w:color w:val="000000"/>
                <w:sz w:val="18"/>
                <w:szCs w:val="18"/>
                <w:lang w:eastAsia="en-GB"/>
              </w:rPr>
              <w:t xml:space="preserve">financial </w:t>
            </w:r>
            <w:r w:rsidRPr="000C5941">
              <w:rPr>
                <w:b/>
                <w:bCs/>
                <w:color w:val="000000"/>
                <w:sz w:val="18"/>
                <w:szCs w:val="18"/>
                <w:lang w:eastAsia="en-GB"/>
              </w:rPr>
              <w:t>assets</w:t>
            </w:r>
          </w:p>
        </w:tc>
        <w:tc>
          <w:tcPr>
            <w:tcW w:w="960" w:type="pct"/>
            <w:tcBorders>
              <w:top w:val="single" w:sz="4" w:space="0" w:color="auto"/>
              <w:left w:val="nil"/>
              <w:bottom w:val="double" w:sz="6" w:space="0" w:color="auto"/>
              <w:right w:val="nil"/>
            </w:tcBorders>
            <w:shd w:val="clear" w:color="auto" w:fill="auto"/>
            <w:noWrap/>
            <w:vAlign w:val="bottom"/>
          </w:tcPr>
          <w:p w14:paraId="34D83785" w14:textId="412598EE" w:rsidR="000C5941" w:rsidRPr="000C5941" w:rsidRDefault="00B344C3" w:rsidP="00926896">
            <w:pPr>
              <w:jc w:val="right"/>
              <w:rPr>
                <w:b/>
                <w:bCs/>
                <w:color w:val="000000"/>
                <w:sz w:val="18"/>
                <w:szCs w:val="18"/>
                <w:lang w:eastAsia="en-GB"/>
              </w:rPr>
            </w:pPr>
            <w:r>
              <w:rPr>
                <w:b/>
                <w:bCs/>
                <w:color w:val="000000"/>
                <w:sz w:val="18"/>
                <w:szCs w:val="18"/>
                <w:lang w:eastAsia="en-GB"/>
              </w:rPr>
              <w:t>7,361,864</w:t>
            </w:r>
          </w:p>
        </w:tc>
        <w:tc>
          <w:tcPr>
            <w:tcW w:w="998" w:type="pct"/>
            <w:tcBorders>
              <w:top w:val="single" w:sz="4" w:space="0" w:color="auto"/>
              <w:left w:val="nil"/>
              <w:bottom w:val="double" w:sz="6" w:space="0" w:color="auto"/>
              <w:right w:val="nil"/>
            </w:tcBorders>
            <w:shd w:val="clear" w:color="auto" w:fill="auto"/>
            <w:noWrap/>
            <w:vAlign w:val="bottom"/>
          </w:tcPr>
          <w:p w14:paraId="65D6BD9C" w14:textId="52DFAFD5" w:rsidR="000C5941" w:rsidRPr="000C5941" w:rsidRDefault="00B344C3" w:rsidP="00926896">
            <w:pPr>
              <w:jc w:val="right"/>
              <w:rPr>
                <w:b/>
                <w:bCs/>
                <w:color w:val="000000"/>
                <w:sz w:val="18"/>
                <w:szCs w:val="18"/>
                <w:lang w:eastAsia="en-GB"/>
              </w:rPr>
            </w:pPr>
            <w:r>
              <w:rPr>
                <w:b/>
                <w:bCs/>
                <w:color w:val="000000"/>
                <w:sz w:val="18"/>
                <w:szCs w:val="18"/>
                <w:lang w:eastAsia="en-GB"/>
              </w:rPr>
              <w:t>13,410,151</w:t>
            </w:r>
          </w:p>
        </w:tc>
        <w:tc>
          <w:tcPr>
            <w:tcW w:w="1040" w:type="pct"/>
            <w:tcBorders>
              <w:top w:val="single" w:sz="4" w:space="0" w:color="auto"/>
              <w:left w:val="nil"/>
              <w:bottom w:val="double" w:sz="6" w:space="0" w:color="auto"/>
              <w:right w:val="nil"/>
            </w:tcBorders>
            <w:shd w:val="clear" w:color="auto" w:fill="auto"/>
            <w:noWrap/>
            <w:vAlign w:val="bottom"/>
          </w:tcPr>
          <w:p w14:paraId="7A34F0C5" w14:textId="02A9E755" w:rsidR="000C5941" w:rsidRPr="000C5941" w:rsidRDefault="00B344C3" w:rsidP="00926896">
            <w:pPr>
              <w:jc w:val="right"/>
              <w:rPr>
                <w:b/>
                <w:bCs/>
                <w:color w:val="000000"/>
                <w:sz w:val="18"/>
                <w:szCs w:val="18"/>
                <w:lang w:eastAsia="en-GB"/>
              </w:rPr>
            </w:pPr>
            <w:r>
              <w:rPr>
                <w:b/>
                <w:bCs/>
                <w:color w:val="000000"/>
                <w:sz w:val="18"/>
                <w:szCs w:val="18"/>
                <w:lang w:eastAsia="en-GB"/>
              </w:rPr>
              <w:t>20,772,015</w:t>
            </w:r>
          </w:p>
        </w:tc>
      </w:tr>
      <w:tr w:rsidR="000C5941" w:rsidRPr="000C5941" w14:paraId="7F024411" w14:textId="77777777" w:rsidTr="00D23DAC">
        <w:trPr>
          <w:trHeight w:val="421"/>
        </w:trPr>
        <w:tc>
          <w:tcPr>
            <w:tcW w:w="2002" w:type="pct"/>
            <w:tcBorders>
              <w:top w:val="nil"/>
              <w:left w:val="nil"/>
              <w:bottom w:val="nil"/>
              <w:right w:val="nil"/>
            </w:tcBorders>
            <w:shd w:val="clear" w:color="auto" w:fill="auto"/>
            <w:noWrap/>
            <w:vAlign w:val="bottom"/>
            <w:hideMark/>
          </w:tcPr>
          <w:p w14:paraId="0B7F8058" w14:textId="77777777" w:rsidR="000C5941" w:rsidRPr="000C5941" w:rsidRDefault="000C5941" w:rsidP="00926896">
            <w:pPr>
              <w:rPr>
                <w:b/>
                <w:bCs/>
                <w:color w:val="000000"/>
                <w:sz w:val="18"/>
                <w:szCs w:val="18"/>
                <w:lang w:eastAsia="en-GB"/>
              </w:rPr>
            </w:pPr>
            <w:r w:rsidRPr="000C5941">
              <w:rPr>
                <w:b/>
                <w:bCs/>
                <w:color w:val="000000"/>
                <w:sz w:val="18"/>
                <w:szCs w:val="18"/>
                <w:lang w:eastAsia="en-GB"/>
              </w:rPr>
              <w:t>Liabilities</w:t>
            </w:r>
          </w:p>
        </w:tc>
        <w:tc>
          <w:tcPr>
            <w:tcW w:w="960" w:type="pct"/>
            <w:tcBorders>
              <w:top w:val="nil"/>
              <w:left w:val="nil"/>
              <w:bottom w:val="nil"/>
              <w:right w:val="nil"/>
            </w:tcBorders>
            <w:shd w:val="clear" w:color="auto" w:fill="auto"/>
            <w:noWrap/>
            <w:vAlign w:val="bottom"/>
          </w:tcPr>
          <w:p w14:paraId="356B5463" w14:textId="77777777" w:rsidR="000C5941" w:rsidRPr="000C5941" w:rsidRDefault="000C5941" w:rsidP="00926896">
            <w:pPr>
              <w:rPr>
                <w:color w:val="000000"/>
                <w:sz w:val="18"/>
                <w:szCs w:val="18"/>
                <w:lang w:eastAsia="en-GB"/>
              </w:rPr>
            </w:pPr>
          </w:p>
        </w:tc>
        <w:tc>
          <w:tcPr>
            <w:tcW w:w="998" w:type="pct"/>
            <w:tcBorders>
              <w:top w:val="nil"/>
              <w:left w:val="nil"/>
              <w:bottom w:val="nil"/>
              <w:right w:val="nil"/>
            </w:tcBorders>
            <w:shd w:val="clear" w:color="auto" w:fill="auto"/>
            <w:noWrap/>
            <w:vAlign w:val="bottom"/>
          </w:tcPr>
          <w:p w14:paraId="71911814" w14:textId="77777777" w:rsidR="000C5941" w:rsidRPr="000C5941" w:rsidRDefault="000C5941" w:rsidP="00926896">
            <w:pPr>
              <w:rPr>
                <w:color w:val="000000"/>
                <w:sz w:val="18"/>
                <w:szCs w:val="18"/>
                <w:lang w:eastAsia="en-GB"/>
              </w:rPr>
            </w:pPr>
          </w:p>
        </w:tc>
        <w:tc>
          <w:tcPr>
            <w:tcW w:w="1040" w:type="pct"/>
            <w:tcBorders>
              <w:top w:val="nil"/>
              <w:left w:val="nil"/>
              <w:bottom w:val="nil"/>
              <w:right w:val="nil"/>
            </w:tcBorders>
            <w:shd w:val="clear" w:color="auto" w:fill="auto"/>
            <w:noWrap/>
            <w:vAlign w:val="bottom"/>
          </w:tcPr>
          <w:p w14:paraId="6655A75B" w14:textId="77777777" w:rsidR="000C5941" w:rsidRPr="000C5941" w:rsidRDefault="000C5941" w:rsidP="00926896">
            <w:pPr>
              <w:rPr>
                <w:color w:val="000000"/>
                <w:sz w:val="18"/>
                <w:szCs w:val="18"/>
                <w:lang w:eastAsia="en-GB"/>
              </w:rPr>
            </w:pPr>
          </w:p>
        </w:tc>
      </w:tr>
      <w:tr w:rsidR="000C5941" w:rsidRPr="000C5941" w14:paraId="13BE85E7" w14:textId="77777777" w:rsidTr="00D23DAC">
        <w:trPr>
          <w:trHeight w:val="300"/>
        </w:trPr>
        <w:tc>
          <w:tcPr>
            <w:tcW w:w="2002" w:type="pct"/>
            <w:tcBorders>
              <w:top w:val="nil"/>
              <w:left w:val="nil"/>
              <w:bottom w:val="nil"/>
              <w:right w:val="nil"/>
            </w:tcBorders>
            <w:shd w:val="clear" w:color="auto" w:fill="auto"/>
            <w:noWrap/>
            <w:vAlign w:val="bottom"/>
            <w:hideMark/>
          </w:tcPr>
          <w:p w14:paraId="42F58E1D" w14:textId="77777777" w:rsidR="000C5941" w:rsidRPr="000C5941" w:rsidRDefault="000C5941" w:rsidP="00926896">
            <w:pPr>
              <w:rPr>
                <w:color w:val="000000"/>
                <w:sz w:val="18"/>
                <w:szCs w:val="18"/>
                <w:lang w:eastAsia="en-GB"/>
              </w:rPr>
            </w:pPr>
            <w:r w:rsidRPr="000C5941">
              <w:rPr>
                <w:color w:val="000000"/>
                <w:sz w:val="18"/>
                <w:szCs w:val="18"/>
                <w:lang w:eastAsia="en-GB"/>
              </w:rPr>
              <w:t>Payables</w:t>
            </w:r>
          </w:p>
        </w:tc>
        <w:tc>
          <w:tcPr>
            <w:tcW w:w="960" w:type="pct"/>
            <w:tcBorders>
              <w:top w:val="nil"/>
              <w:left w:val="nil"/>
              <w:bottom w:val="nil"/>
              <w:right w:val="nil"/>
            </w:tcBorders>
            <w:shd w:val="clear" w:color="auto" w:fill="auto"/>
            <w:noWrap/>
            <w:vAlign w:val="bottom"/>
          </w:tcPr>
          <w:p w14:paraId="6159CE71" w14:textId="33579F0E" w:rsidR="000C5941" w:rsidRPr="000C5941" w:rsidRDefault="008F3DF2" w:rsidP="00926896">
            <w:pPr>
              <w:jc w:val="right"/>
              <w:rPr>
                <w:color w:val="000000"/>
                <w:sz w:val="18"/>
                <w:szCs w:val="18"/>
                <w:lang w:eastAsia="en-GB"/>
              </w:rPr>
            </w:pPr>
            <w:r>
              <w:rPr>
                <w:color w:val="000000"/>
                <w:sz w:val="18"/>
                <w:szCs w:val="18"/>
                <w:lang w:eastAsia="en-GB"/>
              </w:rPr>
              <w:t>(423,170)</w:t>
            </w:r>
          </w:p>
        </w:tc>
        <w:tc>
          <w:tcPr>
            <w:tcW w:w="998" w:type="pct"/>
            <w:tcBorders>
              <w:top w:val="nil"/>
              <w:left w:val="nil"/>
              <w:bottom w:val="nil"/>
              <w:right w:val="nil"/>
            </w:tcBorders>
            <w:shd w:val="clear" w:color="auto" w:fill="auto"/>
            <w:noWrap/>
            <w:vAlign w:val="bottom"/>
          </w:tcPr>
          <w:p w14:paraId="4D51B212" w14:textId="49D314CE" w:rsidR="000C5941" w:rsidRPr="000C5941" w:rsidRDefault="008F3DF2" w:rsidP="00926896">
            <w:pPr>
              <w:jc w:val="right"/>
              <w:rPr>
                <w:color w:val="000000"/>
                <w:sz w:val="18"/>
                <w:szCs w:val="18"/>
                <w:lang w:eastAsia="en-GB"/>
              </w:rPr>
            </w:pPr>
            <w:r>
              <w:rPr>
                <w:color w:val="000000"/>
                <w:sz w:val="18"/>
                <w:szCs w:val="18"/>
                <w:lang w:eastAsia="en-GB"/>
              </w:rPr>
              <w:t>(54,614)</w:t>
            </w:r>
          </w:p>
        </w:tc>
        <w:tc>
          <w:tcPr>
            <w:tcW w:w="1040" w:type="pct"/>
            <w:tcBorders>
              <w:top w:val="nil"/>
              <w:left w:val="nil"/>
              <w:bottom w:val="nil"/>
              <w:right w:val="nil"/>
            </w:tcBorders>
            <w:shd w:val="clear" w:color="auto" w:fill="auto"/>
            <w:noWrap/>
            <w:vAlign w:val="bottom"/>
          </w:tcPr>
          <w:p w14:paraId="52294164" w14:textId="768CED5E" w:rsidR="000C5941" w:rsidRPr="000C5941" w:rsidRDefault="008F3DF2" w:rsidP="00926896">
            <w:pPr>
              <w:jc w:val="right"/>
              <w:rPr>
                <w:color w:val="000000"/>
                <w:sz w:val="18"/>
                <w:szCs w:val="18"/>
                <w:lang w:eastAsia="en-GB"/>
              </w:rPr>
            </w:pPr>
            <w:r>
              <w:rPr>
                <w:color w:val="000000"/>
                <w:sz w:val="18"/>
                <w:szCs w:val="18"/>
                <w:lang w:eastAsia="en-GB"/>
              </w:rPr>
              <w:t>(477,784)</w:t>
            </w:r>
          </w:p>
        </w:tc>
      </w:tr>
      <w:tr w:rsidR="000C5941" w:rsidRPr="000C5941" w14:paraId="67577E6C" w14:textId="77777777" w:rsidTr="00D23DAC">
        <w:trPr>
          <w:trHeight w:val="300"/>
        </w:trPr>
        <w:tc>
          <w:tcPr>
            <w:tcW w:w="2002" w:type="pct"/>
            <w:tcBorders>
              <w:top w:val="nil"/>
              <w:left w:val="nil"/>
              <w:bottom w:val="nil"/>
              <w:right w:val="nil"/>
            </w:tcBorders>
            <w:shd w:val="clear" w:color="auto" w:fill="auto"/>
            <w:noWrap/>
            <w:vAlign w:val="bottom"/>
            <w:hideMark/>
          </w:tcPr>
          <w:p w14:paraId="0F23A9F7" w14:textId="391D2F89" w:rsidR="000C5941" w:rsidRPr="000C5941" w:rsidRDefault="004A0C6E" w:rsidP="00926896">
            <w:pPr>
              <w:rPr>
                <w:color w:val="000000"/>
                <w:sz w:val="18"/>
                <w:szCs w:val="18"/>
                <w:lang w:eastAsia="en-GB"/>
              </w:rPr>
            </w:pPr>
            <w:r>
              <w:rPr>
                <w:color w:val="000000"/>
                <w:sz w:val="18"/>
                <w:szCs w:val="18"/>
                <w:lang w:eastAsia="en-GB"/>
              </w:rPr>
              <w:t>Lease liabilities</w:t>
            </w:r>
          </w:p>
        </w:tc>
        <w:tc>
          <w:tcPr>
            <w:tcW w:w="960" w:type="pct"/>
            <w:tcBorders>
              <w:top w:val="nil"/>
              <w:left w:val="nil"/>
              <w:bottom w:val="nil"/>
              <w:right w:val="nil"/>
            </w:tcBorders>
            <w:shd w:val="clear" w:color="auto" w:fill="auto"/>
            <w:noWrap/>
            <w:vAlign w:val="bottom"/>
          </w:tcPr>
          <w:p w14:paraId="663C214D" w14:textId="39597280" w:rsidR="000C5941" w:rsidRPr="000C5941" w:rsidRDefault="008F3DF2" w:rsidP="00926896">
            <w:pPr>
              <w:jc w:val="right"/>
              <w:rPr>
                <w:color w:val="000000"/>
                <w:sz w:val="18"/>
                <w:szCs w:val="18"/>
                <w:lang w:eastAsia="en-GB"/>
              </w:rPr>
            </w:pPr>
            <w:r>
              <w:rPr>
                <w:color w:val="000000"/>
                <w:sz w:val="18"/>
                <w:szCs w:val="18"/>
                <w:lang w:eastAsia="en-GB"/>
              </w:rPr>
              <w:t>(139,601)</w:t>
            </w:r>
          </w:p>
        </w:tc>
        <w:tc>
          <w:tcPr>
            <w:tcW w:w="998" w:type="pct"/>
            <w:tcBorders>
              <w:top w:val="nil"/>
              <w:left w:val="nil"/>
              <w:bottom w:val="nil"/>
              <w:right w:val="nil"/>
            </w:tcBorders>
            <w:shd w:val="clear" w:color="auto" w:fill="auto"/>
            <w:noWrap/>
            <w:vAlign w:val="bottom"/>
          </w:tcPr>
          <w:p w14:paraId="2BD66622" w14:textId="41D1F4F5" w:rsidR="000C5941" w:rsidRPr="000C5941" w:rsidRDefault="008F3DF2" w:rsidP="00926896">
            <w:pPr>
              <w:jc w:val="right"/>
              <w:rPr>
                <w:color w:val="000000"/>
                <w:sz w:val="18"/>
                <w:szCs w:val="18"/>
                <w:lang w:eastAsia="en-GB"/>
              </w:rPr>
            </w:pPr>
            <w:r>
              <w:rPr>
                <w:color w:val="000000"/>
                <w:sz w:val="18"/>
                <w:szCs w:val="18"/>
                <w:lang w:eastAsia="en-GB"/>
              </w:rPr>
              <w:t>-</w:t>
            </w:r>
          </w:p>
        </w:tc>
        <w:tc>
          <w:tcPr>
            <w:tcW w:w="1040" w:type="pct"/>
            <w:tcBorders>
              <w:top w:val="nil"/>
              <w:left w:val="nil"/>
              <w:bottom w:val="nil"/>
              <w:right w:val="nil"/>
            </w:tcBorders>
            <w:shd w:val="clear" w:color="auto" w:fill="auto"/>
            <w:noWrap/>
            <w:vAlign w:val="bottom"/>
          </w:tcPr>
          <w:p w14:paraId="5B18F40D" w14:textId="534AB903" w:rsidR="000C5941" w:rsidRPr="000C5941" w:rsidRDefault="008F3DF2" w:rsidP="00926896">
            <w:pPr>
              <w:jc w:val="right"/>
              <w:rPr>
                <w:color w:val="000000"/>
                <w:sz w:val="18"/>
                <w:szCs w:val="18"/>
                <w:lang w:eastAsia="en-GB"/>
              </w:rPr>
            </w:pPr>
            <w:r>
              <w:rPr>
                <w:color w:val="000000"/>
                <w:sz w:val="18"/>
                <w:szCs w:val="18"/>
                <w:lang w:eastAsia="en-GB"/>
              </w:rPr>
              <w:t>(139,601)</w:t>
            </w:r>
          </w:p>
        </w:tc>
      </w:tr>
      <w:tr w:rsidR="000C5941" w:rsidRPr="000C5941" w14:paraId="7EC77B3E" w14:textId="77777777" w:rsidTr="00D23DAC">
        <w:trPr>
          <w:trHeight w:val="300"/>
        </w:trPr>
        <w:tc>
          <w:tcPr>
            <w:tcW w:w="2002" w:type="pct"/>
            <w:tcBorders>
              <w:top w:val="nil"/>
              <w:left w:val="nil"/>
              <w:bottom w:val="nil"/>
              <w:right w:val="nil"/>
            </w:tcBorders>
            <w:shd w:val="clear" w:color="auto" w:fill="auto"/>
            <w:noWrap/>
            <w:vAlign w:val="bottom"/>
            <w:hideMark/>
          </w:tcPr>
          <w:p w14:paraId="38FA1C10" w14:textId="77777777" w:rsidR="000C5941" w:rsidRPr="000C5941" w:rsidRDefault="000C5941" w:rsidP="00926896">
            <w:pPr>
              <w:rPr>
                <w:color w:val="000000"/>
                <w:sz w:val="18"/>
                <w:szCs w:val="18"/>
                <w:lang w:eastAsia="en-GB"/>
              </w:rPr>
            </w:pPr>
            <w:r w:rsidRPr="000C5941">
              <w:rPr>
                <w:color w:val="000000"/>
                <w:sz w:val="18"/>
                <w:szCs w:val="18"/>
                <w:lang w:eastAsia="en-GB"/>
              </w:rPr>
              <w:t>Other liabilities</w:t>
            </w:r>
          </w:p>
        </w:tc>
        <w:tc>
          <w:tcPr>
            <w:tcW w:w="960" w:type="pct"/>
            <w:tcBorders>
              <w:top w:val="nil"/>
              <w:left w:val="nil"/>
              <w:bottom w:val="nil"/>
              <w:right w:val="nil"/>
            </w:tcBorders>
            <w:shd w:val="clear" w:color="auto" w:fill="auto"/>
            <w:noWrap/>
            <w:vAlign w:val="bottom"/>
          </w:tcPr>
          <w:p w14:paraId="6E1358EB" w14:textId="515D72CD" w:rsidR="000C5941" w:rsidRPr="000C5941" w:rsidRDefault="008F3DF2" w:rsidP="00926896">
            <w:pPr>
              <w:jc w:val="right"/>
              <w:rPr>
                <w:color w:val="000000"/>
                <w:sz w:val="18"/>
                <w:szCs w:val="18"/>
                <w:lang w:eastAsia="en-GB"/>
              </w:rPr>
            </w:pPr>
            <w:r>
              <w:rPr>
                <w:color w:val="000000"/>
                <w:sz w:val="18"/>
                <w:szCs w:val="18"/>
                <w:lang w:eastAsia="en-GB"/>
              </w:rPr>
              <w:t>(63,289)</w:t>
            </w:r>
          </w:p>
        </w:tc>
        <w:tc>
          <w:tcPr>
            <w:tcW w:w="998" w:type="pct"/>
            <w:tcBorders>
              <w:top w:val="nil"/>
              <w:left w:val="nil"/>
              <w:bottom w:val="nil"/>
              <w:right w:val="nil"/>
            </w:tcBorders>
            <w:shd w:val="clear" w:color="auto" w:fill="auto"/>
            <w:noWrap/>
            <w:vAlign w:val="bottom"/>
          </w:tcPr>
          <w:p w14:paraId="774717AB" w14:textId="2EAF37D7" w:rsidR="000C5941" w:rsidRPr="000C5941" w:rsidRDefault="008F3DF2" w:rsidP="00926896">
            <w:pPr>
              <w:jc w:val="right"/>
              <w:rPr>
                <w:color w:val="000000"/>
                <w:sz w:val="18"/>
                <w:szCs w:val="18"/>
                <w:lang w:eastAsia="en-GB"/>
              </w:rPr>
            </w:pPr>
            <w:r>
              <w:rPr>
                <w:color w:val="000000"/>
                <w:sz w:val="18"/>
                <w:szCs w:val="18"/>
                <w:lang w:eastAsia="en-GB"/>
              </w:rPr>
              <w:t>-</w:t>
            </w:r>
          </w:p>
        </w:tc>
        <w:tc>
          <w:tcPr>
            <w:tcW w:w="1040" w:type="pct"/>
            <w:tcBorders>
              <w:top w:val="nil"/>
              <w:left w:val="nil"/>
              <w:bottom w:val="nil"/>
              <w:right w:val="nil"/>
            </w:tcBorders>
            <w:shd w:val="clear" w:color="auto" w:fill="auto"/>
            <w:noWrap/>
            <w:vAlign w:val="bottom"/>
          </w:tcPr>
          <w:p w14:paraId="7D63F553" w14:textId="5F16F791" w:rsidR="000C5941" w:rsidRPr="000C5941" w:rsidRDefault="008F3DF2" w:rsidP="00926896">
            <w:pPr>
              <w:jc w:val="right"/>
              <w:rPr>
                <w:color w:val="000000"/>
                <w:sz w:val="18"/>
                <w:szCs w:val="18"/>
                <w:lang w:eastAsia="en-GB"/>
              </w:rPr>
            </w:pPr>
            <w:r>
              <w:rPr>
                <w:color w:val="000000"/>
                <w:sz w:val="18"/>
                <w:szCs w:val="18"/>
                <w:lang w:eastAsia="en-GB"/>
              </w:rPr>
              <w:t>(63,289)</w:t>
            </w:r>
          </w:p>
        </w:tc>
      </w:tr>
      <w:tr w:rsidR="000C5941" w:rsidRPr="000C5941" w14:paraId="38C0618C" w14:textId="77777777" w:rsidTr="00D23DAC">
        <w:trPr>
          <w:trHeight w:val="300"/>
        </w:trPr>
        <w:tc>
          <w:tcPr>
            <w:tcW w:w="2002" w:type="pct"/>
            <w:tcBorders>
              <w:top w:val="single" w:sz="4" w:space="0" w:color="auto"/>
              <w:left w:val="nil"/>
              <w:bottom w:val="nil"/>
              <w:right w:val="nil"/>
            </w:tcBorders>
            <w:shd w:val="clear" w:color="auto" w:fill="auto"/>
            <w:noWrap/>
            <w:vAlign w:val="bottom"/>
            <w:hideMark/>
          </w:tcPr>
          <w:p w14:paraId="45CFF0BC" w14:textId="112F4292" w:rsidR="000C5941" w:rsidRPr="000C5941" w:rsidRDefault="000C5941" w:rsidP="00926896">
            <w:pPr>
              <w:rPr>
                <w:b/>
                <w:bCs/>
                <w:color w:val="000000"/>
                <w:sz w:val="18"/>
                <w:szCs w:val="18"/>
                <w:lang w:eastAsia="en-GB"/>
              </w:rPr>
            </w:pPr>
            <w:r w:rsidRPr="000C5941">
              <w:rPr>
                <w:b/>
                <w:bCs/>
                <w:color w:val="000000"/>
                <w:sz w:val="18"/>
                <w:szCs w:val="18"/>
                <w:lang w:eastAsia="en-GB"/>
              </w:rPr>
              <w:t xml:space="preserve">Total </w:t>
            </w:r>
            <w:r w:rsidR="004A0C6E">
              <w:rPr>
                <w:b/>
                <w:bCs/>
                <w:color w:val="000000"/>
                <w:sz w:val="18"/>
                <w:szCs w:val="18"/>
                <w:lang w:eastAsia="en-GB"/>
              </w:rPr>
              <w:t xml:space="preserve">financial </w:t>
            </w:r>
            <w:r w:rsidRPr="000C5941">
              <w:rPr>
                <w:b/>
                <w:bCs/>
                <w:color w:val="000000"/>
                <w:sz w:val="18"/>
                <w:szCs w:val="18"/>
                <w:lang w:eastAsia="en-GB"/>
              </w:rPr>
              <w:t>liabilities</w:t>
            </w:r>
          </w:p>
        </w:tc>
        <w:tc>
          <w:tcPr>
            <w:tcW w:w="960" w:type="pct"/>
            <w:tcBorders>
              <w:top w:val="single" w:sz="4" w:space="0" w:color="auto"/>
              <w:left w:val="nil"/>
              <w:bottom w:val="nil"/>
              <w:right w:val="nil"/>
            </w:tcBorders>
            <w:shd w:val="clear" w:color="auto" w:fill="auto"/>
            <w:noWrap/>
            <w:vAlign w:val="bottom"/>
          </w:tcPr>
          <w:p w14:paraId="555335D6" w14:textId="30F70261" w:rsidR="000C5941" w:rsidRPr="000C5941" w:rsidRDefault="008F3DF2" w:rsidP="00926896">
            <w:pPr>
              <w:jc w:val="right"/>
              <w:rPr>
                <w:b/>
                <w:bCs/>
                <w:color w:val="000000"/>
                <w:sz w:val="18"/>
                <w:szCs w:val="18"/>
                <w:lang w:eastAsia="en-GB"/>
              </w:rPr>
            </w:pPr>
            <w:r>
              <w:rPr>
                <w:b/>
                <w:bCs/>
                <w:color w:val="000000"/>
                <w:sz w:val="18"/>
                <w:szCs w:val="18"/>
                <w:lang w:eastAsia="en-GB"/>
              </w:rPr>
              <w:t>(</w:t>
            </w:r>
            <w:r w:rsidR="005D0A75">
              <w:rPr>
                <w:b/>
                <w:bCs/>
                <w:color w:val="000000"/>
                <w:sz w:val="18"/>
                <w:szCs w:val="18"/>
                <w:lang w:eastAsia="en-GB"/>
              </w:rPr>
              <w:t>626,060</w:t>
            </w:r>
            <w:r>
              <w:rPr>
                <w:b/>
                <w:bCs/>
                <w:color w:val="000000"/>
                <w:sz w:val="18"/>
                <w:szCs w:val="18"/>
                <w:lang w:eastAsia="en-GB"/>
              </w:rPr>
              <w:t>)</w:t>
            </w:r>
          </w:p>
        </w:tc>
        <w:tc>
          <w:tcPr>
            <w:tcW w:w="998" w:type="pct"/>
            <w:tcBorders>
              <w:top w:val="single" w:sz="4" w:space="0" w:color="auto"/>
              <w:left w:val="nil"/>
              <w:bottom w:val="nil"/>
              <w:right w:val="nil"/>
            </w:tcBorders>
            <w:shd w:val="clear" w:color="auto" w:fill="auto"/>
            <w:noWrap/>
            <w:vAlign w:val="bottom"/>
          </w:tcPr>
          <w:p w14:paraId="74452EE7" w14:textId="746D282E" w:rsidR="000C5941" w:rsidRPr="000C5941" w:rsidRDefault="008F3DF2" w:rsidP="00926896">
            <w:pPr>
              <w:jc w:val="right"/>
              <w:rPr>
                <w:b/>
                <w:bCs/>
                <w:color w:val="000000"/>
                <w:sz w:val="18"/>
                <w:szCs w:val="18"/>
                <w:lang w:eastAsia="en-GB"/>
              </w:rPr>
            </w:pPr>
            <w:r>
              <w:rPr>
                <w:b/>
                <w:bCs/>
                <w:color w:val="000000"/>
                <w:sz w:val="18"/>
                <w:szCs w:val="18"/>
                <w:lang w:eastAsia="en-GB"/>
              </w:rPr>
              <w:t>(54,614)</w:t>
            </w:r>
          </w:p>
        </w:tc>
        <w:tc>
          <w:tcPr>
            <w:tcW w:w="1040" w:type="pct"/>
            <w:tcBorders>
              <w:top w:val="single" w:sz="4" w:space="0" w:color="auto"/>
              <w:left w:val="nil"/>
              <w:bottom w:val="nil"/>
              <w:right w:val="nil"/>
            </w:tcBorders>
            <w:shd w:val="clear" w:color="auto" w:fill="auto"/>
            <w:noWrap/>
            <w:vAlign w:val="bottom"/>
          </w:tcPr>
          <w:p w14:paraId="1D253DCB" w14:textId="4542286B" w:rsidR="000C5941" w:rsidRPr="000C5941" w:rsidRDefault="008F3DF2" w:rsidP="00926896">
            <w:pPr>
              <w:jc w:val="right"/>
              <w:rPr>
                <w:b/>
                <w:bCs/>
                <w:color w:val="000000"/>
                <w:sz w:val="18"/>
                <w:szCs w:val="18"/>
                <w:lang w:eastAsia="en-GB"/>
              </w:rPr>
            </w:pPr>
            <w:r>
              <w:rPr>
                <w:b/>
                <w:bCs/>
                <w:color w:val="000000"/>
                <w:sz w:val="18"/>
                <w:szCs w:val="18"/>
                <w:lang w:eastAsia="en-GB"/>
              </w:rPr>
              <w:t>(</w:t>
            </w:r>
            <w:r w:rsidR="005D0A75">
              <w:rPr>
                <w:b/>
                <w:bCs/>
                <w:color w:val="000000"/>
                <w:sz w:val="18"/>
                <w:szCs w:val="18"/>
                <w:lang w:eastAsia="en-GB"/>
              </w:rPr>
              <w:t>680,674</w:t>
            </w:r>
            <w:r>
              <w:rPr>
                <w:b/>
                <w:bCs/>
                <w:color w:val="000000"/>
                <w:sz w:val="18"/>
                <w:szCs w:val="18"/>
                <w:lang w:eastAsia="en-GB"/>
              </w:rPr>
              <w:t>)</w:t>
            </w:r>
          </w:p>
        </w:tc>
      </w:tr>
      <w:tr w:rsidR="000C5941" w:rsidRPr="000C5941" w14:paraId="4330C3E5" w14:textId="77777777" w:rsidTr="00D23DAC">
        <w:trPr>
          <w:trHeight w:val="315"/>
        </w:trPr>
        <w:tc>
          <w:tcPr>
            <w:tcW w:w="2002" w:type="pct"/>
            <w:tcBorders>
              <w:top w:val="single" w:sz="4" w:space="0" w:color="auto"/>
              <w:left w:val="nil"/>
              <w:bottom w:val="double" w:sz="6" w:space="0" w:color="auto"/>
              <w:right w:val="nil"/>
            </w:tcBorders>
            <w:shd w:val="clear" w:color="auto" w:fill="auto"/>
            <w:noWrap/>
            <w:vAlign w:val="bottom"/>
            <w:hideMark/>
          </w:tcPr>
          <w:p w14:paraId="476B18AB" w14:textId="77777777" w:rsidR="000C5941" w:rsidRPr="000C5941" w:rsidRDefault="000C5941" w:rsidP="00926896">
            <w:pPr>
              <w:rPr>
                <w:b/>
                <w:bCs/>
                <w:color w:val="000000"/>
                <w:sz w:val="18"/>
                <w:szCs w:val="18"/>
                <w:lang w:eastAsia="en-GB"/>
              </w:rPr>
            </w:pPr>
            <w:r w:rsidRPr="000C5941">
              <w:rPr>
                <w:b/>
                <w:bCs/>
                <w:color w:val="000000"/>
                <w:sz w:val="18"/>
                <w:szCs w:val="18"/>
                <w:lang w:eastAsia="en-GB"/>
              </w:rPr>
              <w:t>Net balance sheet position</w:t>
            </w:r>
          </w:p>
        </w:tc>
        <w:tc>
          <w:tcPr>
            <w:tcW w:w="960" w:type="pct"/>
            <w:tcBorders>
              <w:top w:val="single" w:sz="4" w:space="0" w:color="auto"/>
              <w:left w:val="nil"/>
              <w:bottom w:val="double" w:sz="6" w:space="0" w:color="auto"/>
              <w:right w:val="nil"/>
            </w:tcBorders>
            <w:shd w:val="clear" w:color="auto" w:fill="auto"/>
            <w:noWrap/>
            <w:vAlign w:val="bottom"/>
          </w:tcPr>
          <w:p w14:paraId="729E25AB" w14:textId="0935E561" w:rsidR="000C5941" w:rsidRPr="000C5941" w:rsidRDefault="005D0A75" w:rsidP="00926896">
            <w:pPr>
              <w:jc w:val="right"/>
              <w:rPr>
                <w:b/>
                <w:bCs/>
                <w:color w:val="000000"/>
                <w:sz w:val="18"/>
                <w:szCs w:val="18"/>
                <w:lang w:eastAsia="en-GB"/>
              </w:rPr>
            </w:pPr>
            <w:r>
              <w:rPr>
                <w:b/>
                <w:bCs/>
                <w:color w:val="000000"/>
                <w:sz w:val="18"/>
                <w:szCs w:val="18"/>
                <w:lang w:eastAsia="en-GB"/>
              </w:rPr>
              <w:t>6,735,804</w:t>
            </w:r>
          </w:p>
        </w:tc>
        <w:tc>
          <w:tcPr>
            <w:tcW w:w="998" w:type="pct"/>
            <w:tcBorders>
              <w:top w:val="single" w:sz="4" w:space="0" w:color="auto"/>
              <w:left w:val="nil"/>
              <w:bottom w:val="double" w:sz="6" w:space="0" w:color="auto"/>
              <w:right w:val="nil"/>
            </w:tcBorders>
            <w:shd w:val="clear" w:color="auto" w:fill="auto"/>
            <w:noWrap/>
            <w:vAlign w:val="bottom"/>
          </w:tcPr>
          <w:p w14:paraId="38181140" w14:textId="328EB863" w:rsidR="000C5941" w:rsidRPr="000C5941" w:rsidRDefault="008F3DF2" w:rsidP="00926896">
            <w:pPr>
              <w:jc w:val="right"/>
              <w:rPr>
                <w:b/>
                <w:bCs/>
                <w:color w:val="000000"/>
                <w:sz w:val="18"/>
                <w:szCs w:val="18"/>
                <w:lang w:eastAsia="en-GB"/>
              </w:rPr>
            </w:pPr>
            <w:r>
              <w:rPr>
                <w:b/>
                <w:bCs/>
                <w:color w:val="000000"/>
                <w:sz w:val="18"/>
                <w:szCs w:val="18"/>
                <w:lang w:eastAsia="en-GB"/>
              </w:rPr>
              <w:t>13,355,537</w:t>
            </w:r>
          </w:p>
        </w:tc>
        <w:tc>
          <w:tcPr>
            <w:tcW w:w="1040" w:type="pct"/>
            <w:tcBorders>
              <w:top w:val="single" w:sz="4" w:space="0" w:color="auto"/>
              <w:left w:val="nil"/>
              <w:bottom w:val="double" w:sz="6" w:space="0" w:color="auto"/>
              <w:right w:val="nil"/>
            </w:tcBorders>
            <w:shd w:val="clear" w:color="auto" w:fill="auto"/>
            <w:noWrap/>
            <w:vAlign w:val="bottom"/>
          </w:tcPr>
          <w:p w14:paraId="0E5A8F1B" w14:textId="70337E6A" w:rsidR="000C5941" w:rsidRPr="000C5941" w:rsidRDefault="005D0A75" w:rsidP="00926896">
            <w:pPr>
              <w:jc w:val="right"/>
              <w:rPr>
                <w:b/>
                <w:bCs/>
                <w:color w:val="000000"/>
                <w:sz w:val="18"/>
                <w:szCs w:val="18"/>
                <w:lang w:eastAsia="en-GB"/>
              </w:rPr>
            </w:pPr>
            <w:r>
              <w:rPr>
                <w:b/>
                <w:bCs/>
                <w:color w:val="000000"/>
                <w:sz w:val="18"/>
                <w:szCs w:val="18"/>
                <w:lang w:eastAsia="en-GB"/>
              </w:rPr>
              <w:t>20,091,341</w:t>
            </w:r>
          </w:p>
        </w:tc>
      </w:tr>
    </w:tbl>
    <w:p w14:paraId="22268579" w14:textId="77777777" w:rsidR="008F3DF2" w:rsidRDefault="008F3DF2" w:rsidP="004A0C6E">
      <w:pPr>
        <w:spacing w:before="120" w:after="120"/>
        <w:jc w:val="both"/>
        <w:rPr>
          <w:sz w:val="18"/>
          <w:szCs w:val="18"/>
        </w:rPr>
      </w:pPr>
    </w:p>
    <w:p w14:paraId="29EDFA6F" w14:textId="0B2B9602" w:rsidR="004A0C6E" w:rsidRPr="00EC690A" w:rsidRDefault="004A0C6E" w:rsidP="004A0C6E">
      <w:pPr>
        <w:spacing w:before="120" w:after="120"/>
        <w:jc w:val="both"/>
        <w:rPr>
          <w:sz w:val="18"/>
          <w:szCs w:val="18"/>
        </w:rPr>
      </w:pPr>
      <w:r w:rsidRPr="00EC690A">
        <w:rPr>
          <w:sz w:val="18"/>
          <w:szCs w:val="18"/>
        </w:rPr>
        <w:t xml:space="preserve">The table below summarises the Company’s exposure to foreign currency exchange rate risk as at </w:t>
      </w:r>
      <w:r w:rsidRPr="00EC690A">
        <w:rPr>
          <w:sz w:val="18"/>
          <w:szCs w:val="18"/>
        </w:rPr>
        <w:br/>
        <w:t>31 December 201</w:t>
      </w:r>
      <w:r>
        <w:rPr>
          <w:sz w:val="18"/>
          <w:szCs w:val="18"/>
        </w:rPr>
        <w:t>8:</w:t>
      </w:r>
      <w:r w:rsidRPr="00EC690A">
        <w:rPr>
          <w:sz w:val="18"/>
          <w:szCs w:val="18"/>
        </w:rPr>
        <w:t xml:space="preserve"> </w:t>
      </w:r>
    </w:p>
    <w:tbl>
      <w:tblPr>
        <w:tblW w:w="5051" w:type="pct"/>
        <w:tblLayout w:type="fixed"/>
        <w:tblLook w:val="04A0" w:firstRow="1" w:lastRow="0" w:firstColumn="1" w:lastColumn="0" w:noHBand="0" w:noVBand="1"/>
      </w:tblPr>
      <w:tblGrid>
        <w:gridCol w:w="3545"/>
        <w:gridCol w:w="1700"/>
        <w:gridCol w:w="1767"/>
        <w:gridCol w:w="1842"/>
      </w:tblGrid>
      <w:tr w:rsidR="004A0C6E" w:rsidRPr="000C5941" w14:paraId="5FFE0531" w14:textId="77777777" w:rsidTr="00926896">
        <w:trPr>
          <w:trHeight w:val="300"/>
        </w:trPr>
        <w:tc>
          <w:tcPr>
            <w:tcW w:w="2002" w:type="pct"/>
            <w:tcBorders>
              <w:top w:val="nil"/>
              <w:left w:val="nil"/>
              <w:bottom w:val="single" w:sz="4" w:space="0" w:color="auto"/>
              <w:right w:val="nil"/>
            </w:tcBorders>
            <w:shd w:val="clear" w:color="auto" w:fill="auto"/>
            <w:noWrap/>
            <w:vAlign w:val="bottom"/>
            <w:hideMark/>
          </w:tcPr>
          <w:p w14:paraId="232BFA44" w14:textId="77777777" w:rsidR="004A0C6E" w:rsidRPr="000C5941" w:rsidRDefault="004A0C6E" w:rsidP="00926896">
            <w:pPr>
              <w:jc w:val="right"/>
              <w:rPr>
                <w:b/>
                <w:bCs/>
                <w:color w:val="000000"/>
                <w:sz w:val="18"/>
                <w:szCs w:val="18"/>
                <w:lang w:eastAsia="en-GB"/>
              </w:rPr>
            </w:pPr>
            <w:r w:rsidRPr="000C5941">
              <w:rPr>
                <w:b/>
                <w:bCs/>
                <w:color w:val="000000"/>
                <w:sz w:val="18"/>
                <w:szCs w:val="18"/>
                <w:lang w:eastAsia="en-GB"/>
              </w:rPr>
              <w:t> </w:t>
            </w:r>
          </w:p>
        </w:tc>
        <w:tc>
          <w:tcPr>
            <w:tcW w:w="960" w:type="pct"/>
            <w:tcBorders>
              <w:top w:val="nil"/>
              <w:left w:val="nil"/>
              <w:bottom w:val="single" w:sz="4" w:space="0" w:color="auto"/>
              <w:right w:val="nil"/>
            </w:tcBorders>
            <w:shd w:val="clear" w:color="auto" w:fill="auto"/>
            <w:noWrap/>
            <w:vAlign w:val="bottom"/>
            <w:hideMark/>
          </w:tcPr>
          <w:p w14:paraId="692CD1C0" w14:textId="77777777" w:rsidR="004A0C6E" w:rsidRPr="000C5941" w:rsidRDefault="004A0C6E" w:rsidP="00926896">
            <w:pPr>
              <w:jc w:val="right"/>
              <w:rPr>
                <w:b/>
                <w:bCs/>
                <w:color w:val="000000"/>
                <w:sz w:val="18"/>
                <w:szCs w:val="18"/>
                <w:lang w:eastAsia="en-GB"/>
              </w:rPr>
            </w:pPr>
            <w:r w:rsidRPr="000C5941">
              <w:rPr>
                <w:b/>
                <w:bCs/>
                <w:color w:val="000000"/>
                <w:sz w:val="18"/>
                <w:szCs w:val="18"/>
                <w:lang w:eastAsia="en-GB"/>
              </w:rPr>
              <w:t>AZN</w:t>
            </w:r>
          </w:p>
        </w:tc>
        <w:tc>
          <w:tcPr>
            <w:tcW w:w="998" w:type="pct"/>
            <w:tcBorders>
              <w:top w:val="nil"/>
              <w:left w:val="nil"/>
              <w:bottom w:val="single" w:sz="4" w:space="0" w:color="auto"/>
              <w:right w:val="nil"/>
            </w:tcBorders>
            <w:shd w:val="clear" w:color="auto" w:fill="auto"/>
            <w:noWrap/>
            <w:vAlign w:val="bottom"/>
            <w:hideMark/>
          </w:tcPr>
          <w:p w14:paraId="7777A4CA" w14:textId="77777777" w:rsidR="004A0C6E" w:rsidRPr="000C5941" w:rsidRDefault="004A0C6E" w:rsidP="00926896">
            <w:pPr>
              <w:jc w:val="right"/>
              <w:rPr>
                <w:b/>
                <w:bCs/>
                <w:color w:val="000000"/>
                <w:sz w:val="18"/>
                <w:szCs w:val="18"/>
                <w:lang w:eastAsia="en-GB"/>
              </w:rPr>
            </w:pPr>
            <w:r w:rsidRPr="000C5941">
              <w:rPr>
                <w:b/>
                <w:bCs/>
                <w:color w:val="000000"/>
                <w:sz w:val="18"/>
                <w:szCs w:val="18"/>
                <w:lang w:eastAsia="en-GB"/>
              </w:rPr>
              <w:t>USD</w:t>
            </w:r>
          </w:p>
        </w:tc>
        <w:tc>
          <w:tcPr>
            <w:tcW w:w="1040" w:type="pct"/>
            <w:tcBorders>
              <w:top w:val="nil"/>
              <w:left w:val="nil"/>
              <w:bottom w:val="single" w:sz="4" w:space="0" w:color="auto"/>
              <w:right w:val="nil"/>
            </w:tcBorders>
            <w:shd w:val="clear" w:color="auto" w:fill="auto"/>
            <w:noWrap/>
            <w:vAlign w:val="bottom"/>
            <w:hideMark/>
          </w:tcPr>
          <w:p w14:paraId="43F9C4C1" w14:textId="77777777" w:rsidR="004A0C6E" w:rsidRPr="000C5941" w:rsidRDefault="004A0C6E" w:rsidP="00926896">
            <w:pPr>
              <w:jc w:val="right"/>
              <w:rPr>
                <w:b/>
                <w:bCs/>
                <w:color w:val="000000"/>
                <w:sz w:val="18"/>
                <w:szCs w:val="18"/>
                <w:lang w:eastAsia="en-GB"/>
              </w:rPr>
            </w:pPr>
            <w:r w:rsidRPr="000C5941">
              <w:rPr>
                <w:b/>
                <w:bCs/>
                <w:color w:val="000000"/>
                <w:sz w:val="18"/>
                <w:szCs w:val="18"/>
                <w:lang w:eastAsia="en-GB"/>
              </w:rPr>
              <w:t>Total</w:t>
            </w:r>
          </w:p>
        </w:tc>
      </w:tr>
      <w:tr w:rsidR="004A0C6E" w:rsidRPr="000C5941" w14:paraId="02CEBFDE" w14:textId="77777777" w:rsidTr="00926896">
        <w:trPr>
          <w:trHeight w:val="330"/>
        </w:trPr>
        <w:tc>
          <w:tcPr>
            <w:tcW w:w="2002" w:type="pct"/>
            <w:tcBorders>
              <w:top w:val="nil"/>
              <w:left w:val="nil"/>
              <w:bottom w:val="nil"/>
              <w:right w:val="nil"/>
            </w:tcBorders>
            <w:shd w:val="clear" w:color="auto" w:fill="auto"/>
            <w:noWrap/>
            <w:vAlign w:val="bottom"/>
            <w:hideMark/>
          </w:tcPr>
          <w:p w14:paraId="2F1A03EA" w14:textId="77777777" w:rsidR="004A0C6E" w:rsidRPr="000C5941" w:rsidRDefault="004A0C6E" w:rsidP="00926896">
            <w:pPr>
              <w:rPr>
                <w:b/>
                <w:bCs/>
                <w:color w:val="000000"/>
                <w:sz w:val="18"/>
                <w:szCs w:val="18"/>
                <w:lang w:eastAsia="en-GB"/>
              </w:rPr>
            </w:pPr>
            <w:r w:rsidRPr="000C5941">
              <w:rPr>
                <w:b/>
                <w:bCs/>
                <w:color w:val="000000"/>
                <w:sz w:val="18"/>
                <w:szCs w:val="18"/>
                <w:lang w:eastAsia="en-GB"/>
              </w:rPr>
              <w:t>Assets</w:t>
            </w:r>
          </w:p>
        </w:tc>
        <w:tc>
          <w:tcPr>
            <w:tcW w:w="960" w:type="pct"/>
            <w:tcBorders>
              <w:top w:val="nil"/>
              <w:left w:val="nil"/>
              <w:bottom w:val="nil"/>
              <w:right w:val="nil"/>
            </w:tcBorders>
            <w:shd w:val="clear" w:color="auto" w:fill="auto"/>
            <w:noWrap/>
            <w:vAlign w:val="bottom"/>
            <w:hideMark/>
          </w:tcPr>
          <w:p w14:paraId="1414FD0E" w14:textId="77777777" w:rsidR="004A0C6E" w:rsidRPr="000C5941" w:rsidRDefault="004A0C6E" w:rsidP="00926896">
            <w:pPr>
              <w:rPr>
                <w:color w:val="000000"/>
                <w:sz w:val="18"/>
                <w:szCs w:val="18"/>
                <w:lang w:eastAsia="en-GB"/>
              </w:rPr>
            </w:pPr>
          </w:p>
        </w:tc>
        <w:tc>
          <w:tcPr>
            <w:tcW w:w="998" w:type="pct"/>
            <w:tcBorders>
              <w:top w:val="nil"/>
              <w:left w:val="nil"/>
              <w:bottom w:val="nil"/>
              <w:right w:val="nil"/>
            </w:tcBorders>
            <w:shd w:val="clear" w:color="auto" w:fill="auto"/>
            <w:noWrap/>
            <w:vAlign w:val="bottom"/>
            <w:hideMark/>
          </w:tcPr>
          <w:p w14:paraId="043CBBC9" w14:textId="77777777" w:rsidR="004A0C6E" w:rsidRPr="000C5941" w:rsidRDefault="004A0C6E" w:rsidP="00926896">
            <w:pPr>
              <w:rPr>
                <w:color w:val="000000"/>
                <w:sz w:val="18"/>
                <w:szCs w:val="18"/>
                <w:lang w:eastAsia="en-GB"/>
              </w:rPr>
            </w:pPr>
          </w:p>
        </w:tc>
        <w:tc>
          <w:tcPr>
            <w:tcW w:w="1040" w:type="pct"/>
            <w:tcBorders>
              <w:top w:val="nil"/>
              <w:left w:val="nil"/>
              <w:bottom w:val="nil"/>
              <w:right w:val="nil"/>
            </w:tcBorders>
            <w:shd w:val="clear" w:color="auto" w:fill="auto"/>
            <w:noWrap/>
            <w:vAlign w:val="bottom"/>
            <w:hideMark/>
          </w:tcPr>
          <w:p w14:paraId="28FCBC41" w14:textId="77777777" w:rsidR="004A0C6E" w:rsidRPr="000C5941" w:rsidRDefault="004A0C6E" w:rsidP="00926896">
            <w:pPr>
              <w:rPr>
                <w:color w:val="000000"/>
                <w:sz w:val="18"/>
                <w:szCs w:val="18"/>
                <w:lang w:eastAsia="en-GB"/>
              </w:rPr>
            </w:pPr>
          </w:p>
        </w:tc>
      </w:tr>
      <w:tr w:rsidR="004A0C6E" w:rsidRPr="000C5941" w14:paraId="5B788F45" w14:textId="77777777" w:rsidTr="00D23DAC">
        <w:trPr>
          <w:trHeight w:val="300"/>
        </w:trPr>
        <w:tc>
          <w:tcPr>
            <w:tcW w:w="2002" w:type="pct"/>
            <w:tcBorders>
              <w:top w:val="nil"/>
              <w:left w:val="nil"/>
              <w:bottom w:val="nil"/>
              <w:right w:val="nil"/>
            </w:tcBorders>
            <w:shd w:val="clear" w:color="auto" w:fill="auto"/>
            <w:noWrap/>
            <w:vAlign w:val="bottom"/>
            <w:hideMark/>
          </w:tcPr>
          <w:p w14:paraId="50A3483E" w14:textId="77777777" w:rsidR="004A0C6E" w:rsidRPr="000C5941" w:rsidRDefault="004A0C6E" w:rsidP="00926896">
            <w:pPr>
              <w:rPr>
                <w:color w:val="000000"/>
                <w:sz w:val="18"/>
                <w:szCs w:val="18"/>
                <w:lang w:eastAsia="en-GB"/>
              </w:rPr>
            </w:pPr>
            <w:r w:rsidRPr="000C5941">
              <w:rPr>
                <w:color w:val="000000"/>
                <w:sz w:val="18"/>
                <w:szCs w:val="18"/>
                <w:lang w:eastAsia="en-GB"/>
              </w:rPr>
              <w:t>Cash and cash equivalents</w:t>
            </w:r>
          </w:p>
        </w:tc>
        <w:tc>
          <w:tcPr>
            <w:tcW w:w="960" w:type="pct"/>
            <w:tcBorders>
              <w:top w:val="nil"/>
              <w:left w:val="nil"/>
              <w:bottom w:val="nil"/>
              <w:right w:val="nil"/>
            </w:tcBorders>
            <w:shd w:val="clear" w:color="auto" w:fill="auto"/>
            <w:noWrap/>
            <w:vAlign w:val="bottom"/>
          </w:tcPr>
          <w:p w14:paraId="23174CE4" w14:textId="04DCE618" w:rsidR="004A0C6E" w:rsidRPr="00D23DAC" w:rsidRDefault="00D23DAC" w:rsidP="00926896">
            <w:pPr>
              <w:jc w:val="right"/>
              <w:rPr>
                <w:color w:val="000000"/>
                <w:sz w:val="18"/>
                <w:szCs w:val="18"/>
                <w:lang w:val="en-US" w:eastAsia="en-GB"/>
              </w:rPr>
            </w:pPr>
            <w:r>
              <w:rPr>
                <w:color w:val="000000"/>
                <w:sz w:val="18"/>
                <w:szCs w:val="18"/>
                <w:lang w:val="en-US" w:eastAsia="en-GB"/>
              </w:rPr>
              <w:t>190,251</w:t>
            </w:r>
          </w:p>
        </w:tc>
        <w:tc>
          <w:tcPr>
            <w:tcW w:w="998" w:type="pct"/>
            <w:tcBorders>
              <w:top w:val="nil"/>
              <w:left w:val="nil"/>
              <w:bottom w:val="nil"/>
              <w:right w:val="nil"/>
            </w:tcBorders>
            <w:shd w:val="clear" w:color="auto" w:fill="auto"/>
            <w:noWrap/>
            <w:vAlign w:val="bottom"/>
          </w:tcPr>
          <w:p w14:paraId="4FED938E" w14:textId="3E1A945E" w:rsidR="004A0C6E" w:rsidRPr="000C5941" w:rsidRDefault="00D23DAC" w:rsidP="00926896">
            <w:pPr>
              <w:jc w:val="right"/>
              <w:rPr>
                <w:color w:val="000000"/>
                <w:sz w:val="18"/>
                <w:szCs w:val="18"/>
                <w:lang w:eastAsia="en-GB"/>
              </w:rPr>
            </w:pPr>
            <w:r>
              <w:rPr>
                <w:color w:val="000000"/>
                <w:sz w:val="18"/>
                <w:szCs w:val="18"/>
                <w:lang w:eastAsia="en-GB"/>
              </w:rPr>
              <w:t>6,373,327</w:t>
            </w:r>
          </w:p>
        </w:tc>
        <w:tc>
          <w:tcPr>
            <w:tcW w:w="1040" w:type="pct"/>
            <w:tcBorders>
              <w:top w:val="nil"/>
              <w:left w:val="nil"/>
              <w:bottom w:val="nil"/>
              <w:right w:val="nil"/>
            </w:tcBorders>
            <w:shd w:val="clear" w:color="auto" w:fill="auto"/>
            <w:noWrap/>
            <w:vAlign w:val="bottom"/>
          </w:tcPr>
          <w:p w14:paraId="6842886C" w14:textId="0A47BD79" w:rsidR="004A0C6E" w:rsidRPr="000C5941" w:rsidRDefault="00D23DAC" w:rsidP="00926896">
            <w:pPr>
              <w:jc w:val="right"/>
              <w:rPr>
                <w:color w:val="000000"/>
                <w:sz w:val="18"/>
                <w:szCs w:val="18"/>
                <w:lang w:eastAsia="en-GB"/>
              </w:rPr>
            </w:pPr>
            <w:r>
              <w:rPr>
                <w:color w:val="000000"/>
                <w:sz w:val="18"/>
                <w:szCs w:val="18"/>
                <w:lang w:eastAsia="en-GB"/>
              </w:rPr>
              <w:t>6,563,578</w:t>
            </w:r>
          </w:p>
        </w:tc>
      </w:tr>
      <w:tr w:rsidR="004A0C6E" w:rsidRPr="000C5941" w14:paraId="25CBEB0B" w14:textId="77777777" w:rsidTr="00D23DAC">
        <w:trPr>
          <w:trHeight w:val="300"/>
        </w:trPr>
        <w:tc>
          <w:tcPr>
            <w:tcW w:w="2002" w:type="pct"/>
            <w:tcBorders>
              <w:top w:val="nil"/>
              <w:left w:val="nil"/>
              <w:bottom w:val="nil"/>
              <w:right w:val="nil"/>
            </w:tcBorders>
            <w:shd w:val="clear" w:color="auto" w:fill="auto"/>
            <w:noWrap/>
            <w:vAlign w:val="bottom"/>
            <w:hideMark/>
          </w:tcPr>
          <w:p w14:paraId="3B1D2375" w14:textId="77777777" w:rsidR="004A0C6E" w:rsidRPr="000C5941" w:rsidRDefault="004A0C6E" w:rsidP="00926896">
            <w:pPr>
              <w:rPr>
                <w:color w:val="000000"/>
                <w:sz w:val="18"/>
                <w:szCs w:val="18"/>
                <w:lang w:eastAsia="en-GB"/>
              </w:rPr>
            </w:pPr>
            <w:r w:rsidRPr="000C5941">
              <w:rPr>
                <w:color w:val="000000"/>
                <w:sz w:val="18"/>
                <w:szCs w:val="18"/>
                <w:lang w:eastAsia="en-GB"/>
              </w:rPr>
              <w:t>Deposits with banks</w:t>
            </w:r>
          </w:p>
        </w:tc>
        <w:tc>
          <w:tcPr>
            <w:tcW w:w="960" w:type="pct"/>
            <w:tcBorders>
              <w:top w:val="nil"/>
              <w:left w:val="nil"/>
              <w:bottom w:val="nil"/>
              <w:right w:val="nil"/>
            </w:tcBorders>
            <w:shd w:val="clear" w:color="auto" w:fill="auto"/>
            <w:noWrap/>
            <w:vAlign w:val="bottom"/>
          </w:tcPr>
          <w:p w14:paraId="67E60DBA" w14:textId="2FC085EA" w:rsidR="004A0C6E" w:rsidRPr="000C5941" w:rsidRDefault="00D23DAC" w:rsidP="00926896">
            <w:pPr>
              <w:jc w:val="right"/>
              <w:rPr>
                <w:color w:val="000000"/>
                <w:sz w:val="18"/>
                <w:szCs w:val="18"/>
                <w:lang w:eastAsia="en-GB"/>
              </w:rPr>
            </w:pPr>
            <w:r>
              <w:rPr>
                <w:color w:val="000000"/>
                <w:sz w:val="18"/>
                <w:szCs w:val="18"/>
                <w:lang w:eastAsia="en-GB"/>
              </w:rPr>
              <w:t>2,508,840</w:t>
            </w:r>
          </w:p>
        </w:tc>
        <w:tc>
          <w:tcPr>
            <w:tcW w:w="998" w:type="pct"/>
            <w:tcBorders>
              <w:top w:val="nil"/>
              <w:left w:val="nil"/>
              <w:bottom w:val="nil"/>
              <w:right w:val="nil"/>
            </w:tcBorders>
            <w:shd w:val="clear" w:color="auto" w:fill="auto"/>
            <w:noWrap/>
            <w:vAlign w:val="bottom"/>
          </w:tcPr>
          <w:p w14:paraId="7FA98AAF" w14:textId="53738BA9" w:rsidR="004A0C6E" w:rsidRPr="000C5941" w:rsidRDefault="00D23DAC" w:rsidP="00926896">
            <w:pPr>
              <w:jc w:val="right"/>
              <w:rPr>
                <w:color w:val="000000"/>
                <w:sz w:val="18"/>
                <w:szCs w:val="18"/>
                <w:lang w:eastAsia="en-GB"/>
              </w:rPr>
            </w:pPr>
            <w:r>
              <w:rPr>
                <w:color w:val="000000"/>
                <w:sz w:val="18"/>
                <w:szCs w:val="18"/>
                <w:lang w:eastAsia="en-GB"/>
              </w:rPr>
              <w:t>4,250,000</w:t>
            </w:r>
          </w:p>
        </w:tc>
        <w:tc>
          <w:tcPr>
            <w:tcW w:w="1040" w:type="pct"/>
            <w:tcBorders>
              <w:top w:val="nil"/>
              <w:left w:val="nil"/>
              <w:bottom w:val="nil"/>
              <w:right w:val="nil"/>
            </w:tcBorders>
            <w:shd w:val="clear" w:color="auto" w:fill="auto"/>
            <w:noWrap/>
            <w:vAlign w:val="bottom"/>
          </w:tcPr>
          <w:p w14:paraId="263A4DEB" w14:textId="7C856AD2" w:rsidR="004A0C6E" w:rsidRPr="000C5941" w:rsidRDefault="00D23DAC" w:rsidP="00926896">
            <w:pPr>
              <w:jc w:val="right"/>
              <w:rPr>
                <w:color w:val="000000"/>
                <w:sz w:val="18"/>
                <w:szCs w:val="18"/>
                <w:lang w:eastAsia="en-GB"/>
              </w:rPr>
            </w:pPr>
            <w:r>
              <w:rPr>
                <w:color w:val="000000"/>
                <w:sz w:val="18"/>
                <w:szCs w:val="18"/>
                <w:lang w:eastAsia="en-GB"/>
              </w:rPr>
              <w:t>6,758,840</w:t>
            </w:r>
          </w:p>
        </w:tc>
      </w:tr>
      <w:tr w:rsidR="004A0C6E" w:rsidRPr="000C5941" w14:paraId="334857EB" w14:textId="77777777" w:rsidTr="00D23DAC">
        <w:trPr>
          <w:trHeight w:val="300"/>
        </w:trPr>
        <w:tc>
          <w:tcPr>
            <w:tcW w:w="2002" w:type="pct"/>
            <w:tcBorders>
              <w:top w:val="nil"/>
              <w:left w:val="nil"/>
              <w:bottom w:val="nil"/>
              <w:right w:val="nil"/>
            </w:tcBorders>
            <w:shd w:val="clear" w:color="auto" w:fill="auto"/>
            <w:noWrap/>
            <w:vAlign w:val="bottom"/>
            <w:hideMark/>
          </w:tcPr>
          <w:p w14:paraId="1B04C117" w14:textId="77777777" w:rsidR="004A0C6E" w:rsidRPr="000C5941" w:rsidRDefault="004A0C6E" w:rsidP="00926896">
            <w:pPr>
              <w:rPr>
                <w:color w:val="000000"/>
                <w:sz w:val="18"/>
                <w:szCs w:val="18"/>
                <w:lang w:eastAsia="en-GB"/>
              </w:rPr>
            </w:pPr>
            <w:r w:rsidRPr="000C5941">
              <w:rPr>
                <w:color w:val="000000"/>
                <w:sz w:val="18"/>
                <w:szCs w:val="18"/>
                <w:lang w:eastAsia="en-GB"/>
              </w:rPr>
              <w:t>Receivables</w:t>
            </w:r>
          </w:p>
        </w:tc>
        <w:tc>
          <w:tcPr>
            <w:tcW w:w="960" w:type="pct"/>
            <w:tcBorders>
              <w:top w:val="nil"/>
              <w:left w:val="nil"/>
              <w:bottom w:val="nil"/>
              <w:right w:val="nil"/>
            </w:tcBorders>
            <w:shd w:val="clear" w:color="auto" w:fill="auto"/>
            <w:noWrap/>
            <w:vAlign w:val="bottom"/>
          </w:tcPr>
          <w:p w14:paraId="20705CC2" w14:textId="7395509D" w:rsidR="004A0C6E" w:rsidRPr="000C5941" w:rsidRDefault="00D23DAC" w:rsidP="00926896">
            <w:pPr>
              <w:jc w:val="right"/>
              <w:rPr>
                <w:color w:val="000000"/>
                <w:sz w:val="18"/>
                <w:szCs w:val="18"/>
                <w:lang w:eastAsia="en-GB"/>
              </w:rPr>
            </w:pPr>
            <w:r>
              <w:rPr>
                <w:color w:val="000000"/>
                <w:sz w:val="18"/>
                <w:szCs w:val="18"/>
                <w:lang w:eastAsia="en-GB"/>
              </w:rPr>
              <w:t>6,283,979</w:t>
            </w:r>
          </w:p>
        </w:tc>
        <w:tc>
          <w:tcPr>
            <w:tcW w:w="998" w:type="pct"/>
            <w:tcBorders>
              <w:top w:val="nil"/>
              <w:left w:val="nil"/>
              <w:bottom w:val="nil"/>
              <w:right w:val="nil"/>
            </w:tcBorders>
            <w:shd w:val="clear" w:color="auto" w:fill="auto"/>
            <w:noWrap/>
            <w:vAlign w:val="bottom"/>
          </w:tcPr>
          <w:p w14:paraId="11A34A4F" w14:textId="76FBA7B2" w:rsidR="004A0C6E" w:rsidRPr="000C5941" w:rsidRDefault="00D23DAC" w:rsidP="00926896">
            <w:pPr>
              <w:jc w:val="right"/>
              <w:rPr>
                <w:color w:val="000000"/>
                <w:sz w:val="18"/>
                <w:szCs w:val="18"/>
                <w:lang w:eastAsia="en-GB"/>
              </w:rPr>
            </w:pPr>
            <w:r>
              <w:rPr>
                <w:color w:val="000000"/>
                <w:sz w:val="18"/>
                <w:szCs w:val="18"/>
                <w:lang w:eastAsia="en-GB"/>
              </w:rPr>
              <w:t>292,405</w:t>
            </w:r>
          </w:p>
        </w:tc>
        <w:tc>
          <w:tcPr>
            <w:tcW w:w="1040" w:type="pct"/>
            <w:tcBorders>
              <w:top w:val="nil"/>
              <w:left w:val="nil"/>
              <w:bottom w:val="nil"/>
              <w:right w:val="nil"/>
            </w:tcBorders>
            <w:shd w:val="clear" w:color="auto" w:fill="auto"/>
            <w:noWrap/>
            <w:vAlign w:val="bottom"/>
          </w:tcPr>
          <w:p w14:paraId="40666548" w14:textId="3AB79F12" w:rsidR="004A0C6E" w:rsidRPr="000C5941" w:rsidRDefault="00D23DAC" w:rsidP="00926896">
            <w:pPr>
              <w:jc w:val="right"/>
              <w:rPr>
                <w:color w:val="000000"/>
                <w:sz w:val="18"/>
                <w:szCs w:val="18"/>
                <w:lang w:eastAsia="en-GB"/>
              </w:rPr>
            </w:pPr>
            <w:r>
              <w:rPr>
                <w:color w:val="000000"/>
                <w:sz w:val="18"/>
                <w:szCs w:val="18"/>
                <w:lang w:eastAsia="en-GB"/>
              </w:rPr>
              <w:t>6,576,384</w:t>
            </w:r>
          </w:p>
        </w:tc>
      </w:tr>
      <w:tr w:rsidR="004A0C6E" w:rsidRPr="000C5941" w14:paraId="01A41A6F" w14:textId="77777777" w:rsidTr="00D23DAC">
        <w:trPr>
          <w:trHeight w:val="300"/>
        </w:trPr>
        <w:tc>
          <w:tcPr>
            <w:tcW w:w="2002" w:type="pct"/>
            <w:tcBorders>
              <w:top w:val="nil"/>
              <w:left w:val="nil"/>
              <w:bottom w:val="nil"/>
              <w:right w:val="nil"/>
            </w:tcBorders>
            <w:shd w:val="clear" w:color="auto" w:fill="auto"/>
            <w:noWrap/>
            <w:vAlign w:val="bottom"/>
            <w:hideMark/>
          </w:tcPr>
          <w:p w14:paraId="7961A743" w14:textId="77777777" w:rsidR="004A0C6E" w:rsidRPr="000C5941" w:rsidRDefault="004A0C6E" w:rsidP="00926896">
            <w:pPr>
              <w:rPr>
                <w:color w:val="000000"/>
                <w:sz w:val="18"/>
                <w:szCs w:val="18"/>
                <w:lang w:eastAsia="en-GB"/>
              </w:rPr>
            </w:pPr>
            <w:r w:rsidRPr="000C5941">
              <w:rPr>
                <w:color w:val="000000"/>
                <w:sz w:val="18"/>
                <w:szCs w:val="18"/>
                <w:lang w:eastAsia="en-GB"/>
              </w:rPr>
              <w:t>Reinsurance assets</w:t>
            </w:r>
          </w:p>
        </w:tc>
        <w:tc>
          <w:tcPr>
            <w:tcW w:w="960" w:type="pct"/>
            <w:tcBorders>
              <w:top w:val="nil"/>
              <w:left w:val="nil"/>
              <w:bottom w:val="nil"/>
              <w:right w:val="nil"/>
            </w:tcBorders>
            <w:shd w:val="clear" w:color="auto" w:fill="auto"/>
            <w:noWrap/>
            <w:vAlign w:val="bottom"/>
          </w:tcPr>
          <w:p w14:paraId="325AADD3" w14:textId="4CD63984" w:rsidR="004A0C6E" w:rsidRPr="000C5941" w:rsidRDefault="00D23DAC" w:rsidP="00926896">
            <w:pPr>
              <w:jc w:val="right"/>
              <w:rPr>
                <w:color w:val="000000"/>
                <w:sz w:val="18"/>
                <w:szCs w:val="18"/>
                <w:lang w:eastAsia="en-GB"/>
              </w:rPr>
            </w:pPr>
            <w:r>
              <w:rPr>
                <w:color w:val="000000"/>
                <w:sz w:val="18"/>
                <w:szCs w:val="18"/>
                <w:lang w:eastAsia="en-GB"/>
              </w:rPr>
              <w:t>1,033,972</w:t>
            </w:r>
          </w:p>
        </w:tc>
        <w:tc>
          <w:tcPr>
            <w:tcW w:w="998" w:type="pct"/>
            <w:tcBorders>
              <w:top w:val="nil"/>
              <w:left w:val="nil"/>
              <w:bottom w:val="nil"/>
              <w:right w:val="nil"/>
            </w:tcBorders>
            <w:shd w:val="clear" w:color="auto" w:fill="auto"/>
            <w:noWrap/>
            <w:vAlign w:val="bottom"/>
          </w:tcPr>
          <w:p w14:paraId="5BCB547D" w14:textId="2F5D4390" w:rsidR="004A0C6E" w:rsidRPr="000C5941" w:rsidRDefault="00D23DAC" w:rsidP="00926896">
            <w:pPr>
              <w:jc w:val="right"/>
              <w:rPr>
                <w:color w:val="000000"/>
                <w:sz w:val="18"/>
                <w:szCs w:val="18"/>
                <w:lang w:eastAsia="en-GB"/>
              </w:rPr>
            </w:pPr>
            <w:r>
              <w:rPr>
                <w:color w:val="000000"/>
                <w:sz w:val="18"/>
                <w:szCs w:val="18"/>
                <w:lang w:eastAsia="en-GB"/>
              </w:rPr>
              <w:t>-</w:t>
            </w:r>
          </w:p>
        </w:tc>
        <w:tc>
          <w:tcPr>
            <w:tcW w:w="1040" w:type="pct"/>
            <w:tcBorders>
              <w:top w:val="nil"/>
              <w:left w:val="nil"/>
              <w:bottom w:val="nil"/>
              <w:right w:val="nil"/>
            </w:tcBorders>
            <w:shd w:val="clear" w:color="auto" w:fill="auto"/>
            <w:noWrap/>
            <w:vAlign w:val="bottom"/>
          </w:tcPr>
          <w:p w14:paraId="22751B46" w14:textId="40C56949" w:rsidR="004A0C6E" w:rsidRPr="000C5941" w:rsidRDefault="00D23DAC" w:rsidP="00926896">
            <w:pPr>
              <w:jc w:val="right"/>
              <w:rPr>
                <w:color w:val="000000"/>
                <w:sz w:val="18"/>
                <w:szCs w:val="18"/>
                <w:lang w:eastAsia="en-GB"/>
              </w:rPr>
            </w:pPr>
            <w:r>
              <w:rPr>
                <w:color w:val="000000"/>
                <w:sz w:val="18"/>
                <w:szCs w:val="18"/>
                <w:lang w:eastAsia="en-GB"/>
              </w:rPr>
              <w:t>1,033,972</w:t>
            </w:r>
          </w:p>
        </w:tc>
      </w:tr>
      <w:tr w:rsidR="004A0C6E" w:rsidRPr="000C5941" w14:paraId="666F41EB" w14:textId="77777777" w:rsidTr="00D23DAC">
        <w:trPr>
          <w:trHeight w:val="315"/>
        </w:trPr>
        <w:tc>
          <w:tcPr>
            <w:tcW w:w="2002" w:type="pct"/>
            <w:tcBorders>
              <w:top w:val="single" w:sz="4" w:space="0" w:color="auto"/>
              <w:left w:val="nil"/>
              <w:bottom w:val="double" w:sz="6" w:space="0" w:color="auto"/>
              <w:right w:val="nil"/>
            </w:tcBorders>
            <w:shd w:val="clear" w:color="auto" w:fill="auto"/>
            <w:noWrap/>
            <w:vAlign w:val="bottom"/>
            <w:hideMark/>
          </w:tcPr>
          <w:p w14:paraId="0F96CB2D" w14:textId="77777777" w:rsidR="004A0C6E" w:rsidRPr="000C5941" w:rsidRDefault="004A0C6E" w:rsidP="00926896">
            <w:pPr>
              <w:rPr>
                <w:b/>
                <w:bCs/>
                <w:color w:val="000000"/>
                <w:sz w:val="18"/>
                <w:szCs w:val="18"/>
                <w:lang w:eastAsia="en-GB"/>
              </w:rPr>
            </w:pPr>
            <w:r w:rsidRPr="000C5941">
              <w:rPr>
                <w:b/>
                <w:bCs/>
                <w:color w:val="000000"/>
                <w:sz w:val="18"/>
                <w:szCs w:val="18"/>
                <w:lang w:eastAsia="en-GB"/>
              </w:rPr>
              <w:t xml:space="preserve">Total </w:t>
            </w:r>
            <w:r>
              <w:rPr>
                <w:b/>
                <w:bCs/>
                <w:color w:val="000000"/>
                <w:sz w:val="18"/>
                <w:szCs w:val="18"/>
                <w:lang w:eastAsia="en-GB"/>
              </w:rPr>
              <w:t xml:space="preserve">financial </w:t>
            </w:r>
            <w:r w:rsidRPr="000C5941">
              <w:rPr>
                <w:b/>
                <w:bCs/>
                <w:color w:val="000000"/>
                <w:sz w:val="18"/>
                <w:szCs w:val="18"/>
                <w:lang w:eastAsia="en-GB"/>
              </w:rPr>
              <w:t>assets</w:t>
            </w:r>
          </w:p>
        </w:tc>
        <w:tc>
          <w:tcPr>
            <w:tcW w:w="960" w:type="pct"/>
            <w:tcBorders>
              <w:top w:val="single" w:sz="4" w:space="0" w:color="auto"/>
              <w:left w:val="nil"/>
              <w:bottom w:val="double" w:sz="6" w:space="0" w:color="auto"/>
              <w:right w:val="nil"/>
            </w:tcBorders>
            <w:shd w:val="clear" w:color="auto" w:fill="auto"/>
            <w:noWrap/>
            <w:vAlign w:val="bottom"/>
          </w:tcPr>
          <w:p w14:paraId="26FD2F54" w14:textId="2E0519AF" w:rsidR="004A0C6E" w:rsidRPr="000C5941" w:rsidRDefault="00D23DAC" w:rsidP="00926896">
            <w:pPr>
              <w:jc w:val="right"/>
              <w:rPr>
                <w:b/>
                <w:bCs/>
                <w:color w:val="000000"/>
                <w:sz w:val="18"/>
                <w:szCs w:val="18"/>
                <w:lang w:eastAsia="en-GB"/>
              </w:rPr>
            </w:pPr>
            <w:r>
              <w:rPr>
                <w:b/>
                <w:bCs/>
                <w:color w:val="000000"/>
                <w:sz w:val="18"/>
                <w:szCs w:val="18"/>
                <w:lang w:eastAsia="en-GB"/>
              </w:rPr>
              <w:t>10,017,042</w:t>
            </w:r>
          </w:p>
        </w:tc>
        <w:tc>
          <w:tcPr>
            <w:tcW w:w="998" w:type="pct"/>
            <w:tcBorders>
              <w:top w:val="single" w:sz="4" w:space="0" w:color="auto"/>
              <w:left w:val="nil"/>
              <w:bottom w:val="double" w:sz="6" w:space="0" w:color="auto"/>
              <w:right w:val="nil"/>
            </w:tcBorders>
            <w:shd w:val="clear" w:color="auto" w:fill="auto"/>
            <w:noWrap/>
            <w:vAlign w:val="bottom"/>
          </w:tcPr>
          <w:p w14:paraId="5A0D6E69" w14:textId="42C8D63A" w:rsidR="004A0C6E" w:rsidRPr="000C5941" w:rsidRDefault="00D23DAC" w:rsidP="00926896">
            <w:pPr>
              <w:jc w:val="right"/>
              <w:rPr>
                <w:b/>
                <w:bCs/>
                <w:color w:val="000000"/>
                <w:sz w:val="18"/>
                <w:szCs w:val="18"/>
                <w:lang w:eastAsia="en-GB"/>
              </w:rPr>
            </w:pPr>
            <w:r>
              <w:rPr>
                <w:b/>
                <w:bCs/>
                <w:color w:val="000000"/>
                <w:sz w:val="18"/>
                <w:szCs w:val="18"/>
                <w:lang w:eastAsia="en-GB"/>
              </w:rPr>
              <w:t>10,915,732</w:t>
            </w:r>
          </w:p>
        </w:tc>
        <w:tc>
          <w:tcPr>
            <w:tcW w:w="1040" w:type="pct"/>
            <w:tcBorders>
              <w:top w:val="single" w:sz="4" w:space="0" w:color="auto"/>
              <w:left w:val="nil"/>
              <w:bottom w:val="double" w:sz="6" w:space="0" w:color="auto"/>
              <w:right w:val="nil"/>
            </w:tcBorders>
            <w:shd w:val="clear" w:color="auto" w:fill="auto"/>
            <w:noWrap/>
            <w:vAlign w:val="bottom"/>
          </w:tcPr>
          <w:p w14:paraId="50519FE0" w14:textId="2820FBC4" w:rsidR="004A0C6E" w:rsidRPr="000C5941" w:rsidRDefault="00D23DAC" w:rsidP="00926896">
            <w:pPr>
              <w:jc w:val="right"/>
              <w:rPr>
                <w:b/>
                <w:bCs/>
                <w:color w:val="000000"/>
                <w:sz w:val="18"/>
                <w:szCs w:val="18"/>
                <w:lang w:eastAsia="en-GB"/>
              </w:rPr>
            </w:pPr>
            <w:r>
              <w:rPr>
                <w:b/>
                <w:bCs/>
                <w:color w:val="000000"/>
                <w:sz w:val="18"/>
                <w:szCs w:val="18"/>
                <w:lang w:eastAsia="en-GB"/>
              </w:rPr>
              <w:t>20,932,774</w:t>
            </w:r>
          </w:p>
        </w:tc>
      </w:tr>
      <w:tr w:rsidR="004A0C6E" w:rsidRPr="000C5941" w14:paraId="19AADE52" w14:textId="77777777" w:rsidTr="00D23DAC">
        <w:trPr>
          <w:trHeight w:val="421"/>
        </w:trPr>
        <w:tc>
          <w:tcPr>
            <w:tcW w:w="2002" w:type="pct"/>
            <w:tcBorders>
              <w:top w:val="nil"/>
              <w:left w:val="nil"/>
              <w:bottom w:val="nil"/>
              <w:right w:val="nil"/>
            </w:tcBorders>
            <w:shd w:val="clear" w:color="auto" w:fill="auto"/>
            <w:noWrap/>
            <w:vAlign w:val="bottom"/>
            <w:hideMark/>
          </w:tcPr>
          <w:p w14:paraId="5540C3A3" w14:textId="77777777" w:rsidR="004A0C6E" w:rsidRPr="000C5941" w:rsidRDefault="004A0C6E" w:rsidP="00926896">
            <w:pPr>
              <w:rPr>
                <w:b/>
                <w:bCs/>
                <w:color w:val="000000"/>
                <w:sz w:val="18"/>
                <w:szCs w:val="18"/>
                <w:lang w:eastAsia="en-GB"/>
              </w:rPr>
            </w:pPr>
            <w:r w:rsidRPr="000C5941">
              <w:rPr>
                <w:b/>
                <w:bCs/>
                <w:color w:val="000000"/>
                <w:sz w:val="18"/>
                <w:szCs w:val="18"/>
                <w:lang w:eastAsia="en-GB"/>
              </w:rPr>
              <w:t>Liabilities</w:t>
            </w:r>
          </w:p>
        </w:tc>
        <w:tc>
          <w:tcPr>
            <w:tcW w:w="960" w:type="pct"/>
            <w:tcBorders>
              <w:top w:val="nil"/>
              <w:left w:val="nil"/>
              <w:bottom w:val="nil"/>
              <w:right w:val="nil"/>
            </w:tcBorders>
            <w:shd w:val="clear" w:color="auto" w:fill="auto"/>
            <w:noWrap/>
            <w:vAlign w:val="bottom"/>
          </w:tcPr>
          <w:p w14:paraId="309E3A4E" w14:textId="77777777" w:rsidR="004A0C6E" w:rsidRPr="000C5941" w:rsidRDefault="004A0C6E" w:rsidP="00926896">
            <w:pPr>
              <w:rPr>
                <w:color w:val="000000"/>
                <w:sz w:val="18"/>
                <w:szCs w:val="18"/>
                <w:lang w:eastAsia="en-GB"/>
              </w:rPr>
            </w:pPr>
          </w:p>
        </w:tc>
        <w:tc>
          <w:tcPr>
            <w:tcW w:w="998" w:type="pct"/>
            <w:tcBorders>
              <w:top w:val="nil"/>
              <w:left w:val="nil"/>
              <w:bottom w:val="nil"/>
              <w:right w:val="nil"/>
            </w:tcBorders>
            <w:shd w:val="clear" w:color="auto" w:fill="auto"/>
            <w:noWrap/>
            <w:vAlign w:val="bottom"/>
          </w:tcPr>
          <w:p w14:paraId="412F8001" w14:textId="77777777" w:rsidR="004A0C6E" w:rsidRPr="000C5941" w:rsidRDefault="004A0C6E" w:rsidP="00926896">
            <w:pPr>
              <w:rPr>
                <w:color w:val="000000"/>
                <w:sz w:val="18"/>
                <w:szCs w:val="18"/>
                <w:lang w:eastAsia="en-GB"/>
              </w:rPr>
            </w:pPr>
          </w:p>
        </w:tc>
        <w:tc>
          <w:tcPr>
            <w:tcW w:w="1040" w:type="pct"/>
            <w:tcBorders>
              <w:top w:val="nil"/>
              <w:left w:val="nil"/>
              <w:bottom w:val="nil"/>
              <w:right w:val="nil"/>
            </w:tcBorders>
            <w:shd w:val="clear" w:color="auto" w:fill="auto"/>
            <w:noWrap/>
            <w:vAlign w:val="bottom"/>
          </w:tcPr>
          <w:p w14:paraId="564E6CA5" w14:textId="77777777" w:rsidR="004A0C6E" w:rsidRPr="000C5941" w:rsidRDefault="004A0C6E" w:rsidP="00926896">
            <w:pPr>
              <w:rPr>
                <w:color w:val="000000"/>
                <w:sz w:val="18"/>
                <w:szCs w:val="18"/>
                <w:lang w:eastAsia="en-GB"/>
              </w:rPr>
            </w:pPr>
          </w:p>
        </w:tc>
      </w:tr>
      <w:tr w:rsidR="004A0C6E" w:rsidRPr="000C5941" w14:paraId="15E8DF02" w14:textId="77777777" w:rsidTr="00D23DAC">
        <w:trPr>
          <w:trHeight w:val="300"/>
        </w:trPr>
        <w:tc>
          <w:tcPr>
            <w:tcW w:w="2002" w:type="pct"/>
            <w:tcBorders>
              <w:top w:val="nil"/>
              <w:left w:val="nil"/>
              <w:bottom w:val="nil"/>
              <w:right w:val="nil"/>
            </w:tcBorders>
            <w:shd w:val="clear" w:color="auto" w:fill="auto"/>
            <w:noWrap/>
            <w:vAlign w:val="bottom"/>
            <w:hideMark/>
          </w:tcPr>
          <w:p w14:paraId="0EF570BF" w14:textId="77777777" w:rsidR="004A0C6E" w:rsidRPr="000C5941" w:rsidRDefault="004A0C6E" w:rsidP="00926896">
            <w:pPr>
              <w:rPr>
                <w:color w:val="000000"/>
                <w:sz w:val="18"/>
                <w:szCs w:val="18"/>
                <w:lang w:eastAsia="en-GB"/>
              </w:rPr>
            </w:pPr>
            <w:r w:rsidRPr="000C5941">
              <w:rPr>
                <w:color w:val="000000"/>
                <w:sz w:val="18"/>
                <w:szCs w:val="18"/>
                <w:lang w:eastAsia="en-GB"/>
              </w:rPr>
              <w:t>Payables</w:t>
            </w:r>
          </w:p>
        </w:tc>
        <w:tc>
          <w:tcPr>
            <w:tcW w:w="960" w:type="pct"/>
            <w:tcBorders>
              <w:top w:val="nil"/>
              <w:left w:val="nil"/>
              <w:bottom w:val="nil"/>
              <w:right w:val="nil"/>
            </w:tcBorders>
            <w:shd w:val="clear" w:color="auto" w:fill="auto"/>
            <w:noWrap/>
            <w:vAlign w:val="bottom"/>
          </w:tcPr>
          <w:p w14:paraId="78F2FBF7" w14:textId="1654A422" w:rsidR="004A0C6E" w:rsidRPr="000C5941" w:rsidRDefault="008F3DF2" w:rsidP="00926896">
            <w:pPr>
              <w:jc w:val="right"/>
              <w:rPr>
                <w:color w:val="000000"/>
                <w:sz w:val="18"/>
                <w:szCs w:val="18"/>
                <w:lang w:eastAsia="en-GB"/>
              </w:rPr>
            </w:pPr>
            <w:r>
              <w:rPr>
                <w:color w:val="000000"/>
                <w:sz w:val="18"/>
                <w:szCs w:val="18"/>
                <w:lang w:eastAsia="en-GB"/>
              </w:rPr>
              <w:t>(</w:t>
            </w:r>
            <w:r w:rsidR="00D23DAC">
              <w:rPr>
                <w:color w:val="000000"/>
                <w:sz w:val="18"/>
                <w:szCs w:val="18"/>
                <w:lang w:eastAsia="en-GB"/>
              </w:rPr>
              <w:t>384,919</w:t>
            </w:r>
            <w:r>
              <w:rPr>
                <w:color w:val="000000"/>
                <w:sz w:val="18"/>
                <w:szCs w:val="18"/>
                <w:lang w:eastAsia="en-GB"/>
              </w:rPr>
              <w:t>)</w:t>
            </w:r>
          </w:p>
        </w:tc>
        <w:tc>
          <w:tcPr>
            <w:tcW w:w="998" w:type="pct"/>
            <w:tcBorders>
              <w:top w:val="nil"/>
              <w:left w:val="nil"/>
              <w:bottom w:val="nil"/>
              <w:right w:val="nil"/>
            </w:tcBorders>
            <w:shd w:val="clear" w:color="auto" w:fill="auto"/>
            <w:noWrap/>
            <w:vAlign w:val="bottom"/>
          </w:tcPr>
          <w:p w14:paraId="1CB935DC" w14:textId="4DF5AEB2" w:rsidR="004A0C6E" w:rsidRPr="000C5941" w:rsidRDefault="00D23DAC" w:rsidP="00926896">
            <w:pPr>
              <w:jc w:val="right"/>
              <w:rPr>
                <w:color w:val="000000"/>
                <w:sz w:val="18"/>
                <w:szCs w:val="18"/>
                <w:lang w:eastAsia="en-GB"/>
              </w:rPr>
            </w:pPr>
            <w:r>
              <w:rPr>
                <w:color w:val="000000"/>
                <w:sz w:val="18"/>
                <w:szCs w:val="18"/>
                <w:lang w:eastAsia="en-GB"/>
              </w:rPr>
              <w:t>-</w:t>
            </w:r>
          </w:p>
        </w:tc>
        <w:tc>
          <w:tcPr>
            <w:tcW w:w="1040" w:type="pct"/>
            <w:tcBorders>
              <w:top w:val="nil"/>
              <w:left w:val="nil"/>
              <w:bottom w:val="nil"/>
              <w:right w:val="nil"/>
            </w:tcBorders>
            <w:shd w:val="clear" w:color="auto" w:fill="auto"/>
            <w:noWrap/>
            <w:vAlign w:val="bottom"/>
          </w:tcPr>
          <w:p w14:paraId="0853E79B" w14:textId="194EBC69" w:rsidR="004A0C6E" w:rsidRPr="000C5941" w:rsidRDefault="008F3DF2" w:rsidP="00926896">
            <w:pPr>
              <w:jc w:val="right"/>
              <w:rPr>
                <w:color w:val="000000"/>
                <w:sz w:val="18"/>
                <w:szCs w:val="18"/>
                <w:lang w:eastAsia="en-GB"/>
              </w:rPr>
            </w:pPr>
            <w:r>
              <w:rPr>
                <w:color w:val="000000"/>
                <w:sz w:val="18"/>
                <w:szCs w:val="18"/>
                <w:lang w:eastAsia="en-GB"/>
              </w:rPr>
              <w:t>(</w:t>
            </w:r>
            <w:r w:rsidR="00D23DAC">
              <w:rPr>
                <w:color w:val="000000"/>
                <w:sz w:val="18"/>
                <w:szCs w:val="18"/>
                <w:lang w:eastAsia="en-GB"/>
              </w:rPr>
              <w:t>384,919</w:t>
            </w:r>
            <w:r>
              <w:rPr>
                <w:color w:val="000000"/>
                <w:sz w:val="18"/>
                <w:szCs w:val="18"/>
                <w:lang w:eastAsia="en-GB"/>
              </w:rPr>
              <w:t>)</w:t>
            </w:r>
          </w:p>
        </w:tc>
      </w:tr>
      <w:tr w:rsidR="004A0C6E" w:rsidRPr="000C5941" w14:paraId="7AEE9B87" w14:textId="77777777" w:rsidTr="00D23DAC">
        <w:trPr>
          <w:trHeight w:val="300"/>
        </w:trPr>
        <w:tc>
          <w:tcPr>
            <w:tcW w:w="2002" w:type="pct"/>
            <w:tcBorders>
              <w:top w:val="nil"/>
              <w:left w:val="nil"/>
              <w:bottom w:val="nil"/>
              <w:right w:val="nil"/>
            </w:tcBorders>
            <w:shd w:val="clear" w:color="auto" w:fill="auto"/>
            <w:noWrap/>
            <w:vAlign w:val="bottom"/>
            <w:hideMark/>
          </w:tcPr>
          <w:p w14:paraId="33DAD0B2" w14:textId="77777777" w:rsidR="004A0C6E" w:rsidRPr="000C5941" w:rsidRDefault="004A0C6E" w:rsidP="00926896">
            <w:pPr>
              <w:rPr>
                <w:color w:val="000000"/>
                <w:sz w:val="18"/>
                <w:szCs w:val="18"/>
                <w:lang w:eastAsia="en-GB"/>
              </w:rPr>
            </w:pPr>
            <w:r w:rsidRPr="000C5941">
              <w:rPr>
                <w:color w:val="000000"/>
                <w:sz w:val="18"/>
                <w:szCs w:val="18"/>
                <w:lang w:eastAsia="en-GB"/>
              </w:rPr>
              <w:t>Other liabilities</w:t>
            </w:r>
          </w:p>
        </w:tc>
        <w:tc>
          <w:tcPr>
            <w:tcW w:w="960" w:type="pct"/>
            <w:tcBorders>
              <w:top w:val="nil"/>
              <w:left w:val="nil"/>
              <w:bottom w:val="nil"/>
              <w:right w:val="nil"/>
            </w:tcBorders>
            <w:shd w:val="clear" w:color="auto" w:fill="auto"/>
            <w:noWrap/>
            <w:vAlign w:val="bottom"/>
          </w:tcPr>
          <w:p w14:paraId="6C850D82" w14:textId="7822A49B" w:rsidR="004A0C6E" w:rsidRPr="000C5941" w:rsidRDefault="008F3DF2" w:rsidP="00926896">
            <w:pPr>
              <w:jc w:val="right"/>
              <w:rPr>
                <w:color w:val="000000"/>
                <w:sz w:val="18"/>
                <w:szCs w:val="18"/>
                <w:lang w:eastAsia="en-GB"/>
              </w:rPr>
            </w:pPr>
            <w:r>
              <w:rPr>
                <w:color w:val="000000"/>
                <w:sz w:val="18"/>
                <w:szCs w:val="18"/>
                <w:lang w:eastAsia="en-GB"/>
              </w:rPr>
              <w:t>(18,689)</w:t>
            </w:r>
          </w:p>
        </w:tc>
        <w:tc>
          <w:tcPr>
            <w:tcW w:w="998" w:type="pct"/>
            <w:tcBorders>
              <w:top w:val="nil"/>
              <w:left w:val="nil"/>
              <w:bottom w:val="nil"/>
              <w:right w:val="nil"/>
            </w:tcBorders>
            <w:shd w:val="clear" w:color="auto" w:fill="auto"/>
            <w:noWrap/>
            <w:vAlign w:val="bottom"/>
          </w:tcPr>
          <w:p w14:paraId="4764340E" w14:textId="653BBE4D" w:rsidR="004A0C6E" w:rsidRPr="000C5941" w:rsidRDefault="00D23DAC" w:rsidP="00926896">
            <w:pPr>
              <w:jc w:val="right"/>
              <w:rPr>
                <w:color w:val="000000"/>
                <w:sz w:val="18"/>
                <w:szCs w:val="18"/>
                <w:lang w:eastAsia="en-GB"/>
              </w:rPr>
            </w:pPr>
            <w:r>
              <w:rPr>
                <w:color w:val="000000"/>
                <w:sz w:val="18"/>
                <w:szCs w:val="18"/>
                <w:lang w:eastAsia="en-GB"/>
              </w:rPr>
              <w:t>-</w:t>
            </w:r>
          </w:p>
        </w:tc>
        <w:tc>
          <w:tcPr>
            <w:tcW w:w="1040" w:type="pct"/>
            <w:tcBorders>
              <w:top w:val="nil"/>
              <w:left w:val="nil"/>
              <w:bottom w:val="nil"/>
              <w:right w:val="nil"/>
            </w:tcBorders>
            <w:shd w:val="clear" w:color="auto" w:fill="auto"/>
            <w:noWrap/>
            <w:vAlign w:val="bottom"/>
          </w:tcPr>
          <w:p w14:paraId="6A2DD26D" w14:textId="0916671D" w:rsidR="004A0C6E" w:rsidRPr="000C5941" w:rsidRDefault="008F3DF2" w:rsidP="00926896">
            <w:pPr>
              <w:jc w:val="right"/>
              <w:rPr>
                <w:color w:val="000000"/>
                <w:sz w:val="18"/>
                <w:szCs w:val="18"/>
                <w:lang w:eastAsia="en-GB"/>
              </w:rPr>
            </w:pPr>
            <w:r>
              <w:rPr>
                <w:color w:val="000000"/>
                <w:sz w:val="18"/>
                <w:szCs w:val="18"/>
                <w:lang w:eastAsia="en-GB"/>
              </w:rPr>
              <w:t>(18,689)</w:t>
            </w:r>
          </w:p>
        </w:tc>
      </w:tr>
      <w:tr w:rsidR="004A0C6E" w:rsidRPr="000C5941" w14:paraId="787DDC53" w14:textId="77777777" w:rsidTr="00D23DAC">
        <w:trPr>
          <w:trHeight w:val="300"/>
        </w:trPr>
        <w:tc>
          <w:tcPr>
            <w:tcW w:w="2002" w:type="pct"/>
            <w:tcBorders>
              <w:top w:val="single" w:sz="4" w:space="0" w:color="auto"/>
              <w:left w:val="nil"/>
              <w:bottom w:val="nil"/>
              <w:right w:val="nil"/>
            </w:tcBorders>
            <w:shd w:val="clear" w:color="auto" w:fill="auto"/>
            <w:noWrap/>
            <w:vAlign w:val="bottom"/>
            <w:hideMark/>
          </w:tcPr>
          <w:p w14:paraId="2ED17484" w14:textId="77777777" w:rsidR="004A0C6E" w:rsidRPr="000C5941" w:rsidRDefault="004A0C6E" w:rsidP="00926896">
            <w:pPr>
              <w:rPr>
                <w:b/>
                <w:bCs/>
                <w:color w:val="000000"/>
                <w:sz w:val="18"/>
                <w:szCs w:val="18"/>
                <w:lang w:eastAsia="en-GB"/>
              </w:rPr>
            </w:pPr>
            <w:r w:rsidRPr="000C5941">
              <w:rPr>
                <w:b/>
                <w:bCs/>
                <w:color w:val="000000"/>
                <w:sz w:val="18"/>
                <w:szCs w:val="18"/>
                <w:lang w:eastAsia="en-GB"/>
              </w:rPr>
              <w:t xml:space="preserve">Total </w:t>
            </w:r>
            <w:r>
              <w:rPr>
                <w:b/>
                <w:bCs/>
                <w:color w:val="000000"/>
                <w:sz w:val="18"/>
                <w:szCs w:val="18"/>
                <w:lang w:eastAsia="en-GB"/>
              </w:rPr>
              <w:t xml:space="preserve">financial </w:t>
            </w:r>
            <w:r w:rsidRPr="000C5941">
              <w:rPr>
                <w:b/>
                <w:bCs/>
                <w:color w:val="000000"/>
                <w:sz w:val="18"/>
                <w:szCs w:val="18"/>
                <w:lang w:eastAsia="en-GB"/>
              </w:rPr>
              <w:t>liabilities</w:t>
            </w:r>
          </w:p>
        </w:tc>
        <w:tc>
          <w:tcPr>
            <w:tcW w:w="960" w:type="pct"/>
            <w:tcBorders>
              <w:top w:val="single" w:sz="4" w:space="0" w:color="auto"/>
              <w:left w:val="nil"/>
              <w:bottom w:val="nil"/>
              <w:right w:val="nil"/>
            </w:tcBorders>
            <w:shd w:val="clear" w:color="auto" w:fill="auto"/>
            <w:noWrap/>
            <w:vAlign w:val="bottom"/>
          </w:tcPr>
          <w:p w14:paraId="346FCA24" w14:textId="66767DE3" w:rsidR="004A0C6E" w:rsidRPr="000C5941" w:rsidRDefault="008F3DF2" w:rsidP="00926896">
            <w:pPr>
              <w:jc w:val="right"/>
              <w:rPr>
                <w:b/>
                <w:bCs/>
                <w:color w:val="000000"/>
                <w:sz w:val="18"/>
                <w:szCs w:val="18"/>
                <w:lang w:eastAsia="en-GB"/>
              </w:rPr>
            </w:pPr>
            <w:r>
              <w:rPr>
                <w:b/>
                <w:bCs/>
                <w:color w:val="000000"/>
                <w:sz w:val="18"/>
                <w:szCs w:val="18"/>
                <w:lang w:eastAsia="en-GB"/>
              </w:rPr>
              <w:t>(</w:t>
            </w:r>
            <w:r w:rsidR="005D0A75">
              <w:rPr>
                <w:b/>
                <w:bCs/>
                <w:color w:val="000000"/>
                <w:sz w:val="18"/>
                <w:szCs w:val="18"/>
                <w:lang w:eastAsia="en-GB"/>
              </w:rPr>
              <w:t>403,788</w:t>
            </w:r>
            <w:r>
              <w:rPr>
                <w:b/>
                <w:bCs/>
                <w:color w:val="000000"/>
                <w:sz w:val="18"/>
                <w:szCs w:val="18"/>
                <w:lang w:eastAsia="en-GB"/>
              </w:rPr>
              <w:t>)</w:t>
            </w:r>
          </w:p>
        </w:tc>
        <w:tc>
          <w:tcPr>
            <w:tcW w:w="998" w:type="pct"/>
            <w:tcBorders>
              <w:top w:val="single" w:sz="4" w:space="0" w:color="auto"/>
              <w:left w:val="nil"/>
              <w:bottom w:val="nil"/>
              <w:right w:val="nil"/>
            </w:tcBorders>
            <w:shd w:val="clear" w:color="auto" w:fill="auto"/>
            <w:noWrap/>
            <w:vAlign w:val="bottom"/>
          </w:tcPr>
          <w:p w14:paraId="3FAA86EB" w14:textId="40006F6E" w:rsidR="004A0C6E" w:rsidRPr="000C5941" w:rsidRDefault="00D23DAC" w:rsidP="00926896">
            <w:pPr>
              <w:jc w:val="right"/>
              <w:rPr>
                <w:b/>
                <w:bCs/>
                <w:color w:val="000000"/>
                <w:sz w:val="18"/>
                <w:szCs w:val="18"/>
                <w:lang w:eastAsia="en-GB"/>
              </w:rPr>
            </w:pPr>
            <w:r>
              <w:rPr>
                <w:b/>
                <w:bCs/>
                <w:color w:val="000000"/>
                <w:sz w:val="18"/>
                <w:szCs w:val="18"/>
                <w:lang w:eastAsia="en-GB"/>
              </w:rPr>
              <w:t>-</w:t>
            </w:r>
          </w:p>
        </w:tc>
        <w:tc>
          <w:tcPr>
            <w:tcW w:w="1040" w:type="pct"/>
            <w:tcBorders>
              <w:top w:val="single" w:sz="4" w:space="0" w:color="auto"/>
              <w:left w:val="nil"/>
              <w:bottom w:val="nil"/>
              <w:right w:val="nil"/>
            </w:tcBorders>
            <w:shd w:val="clear" w:color="auto" w:fill="auto"/>
            <w:noWrap/>
            <w:vAlign w:val="bottom"/>
          </w:tcPr>
          <w:p w14:paraId="0C06B5EC" w14:textId="5A4BBAE6" w:rsidR="004A0C6E" w:rsidRPr="000C5941" w:rsidRDefault="008F3DF2" w:rsidP="00926896">
            <w:pPr>
              <w:jc w:val="right"/>
              <w:rPr>
                <w:b/>
                <w:bCs/>
                <w:color w:val="000000"/>
                <w:sz w:val="18"/>
                <w:szCs w:val="18"/>
                <w:lang w:eastAsia="en-GB"/>
              </w:rPr>
            </w:pPr>
            <w:r>
              <w:rPr>
                <w:b/>
                <w:bCs/>
                <w:color w:val="000000"/>
                <w:sz w:val="18"/>
                <w:szCs w:val="18"/>
                <w:lang w:eastAsia="en-GB"/>
              </w:rPr>
              <w:t>(</w:t>
            </w:r>
            <w:r w:rsidR="005D0A75">
              <w:rPr>
                <w:b/>
                <w:bCs/>
                <w:color w:val="000000"/>
                <w:sz w:val="18"/>
                <w:szCs w:val="18"/>
                <w:lang w:eastAsia="en-GB"/>
              </w:rPr>
              <w:t>403,788</w:t>
            </w:r>
            <w:r>
              <w:rPr>
                <w:b/>
                <w:bCs/>
                <w:color w:val="000000"/>
                <w:sz w:val="18"/>
                <w:szCs w:val="18"/>
                <w:lang w:eastAsia="en-GB"/>
              </w:rPr>
              <w:t>)</w:t>
            </w:r>
          </w:p>
        </w:tc>
      </w:tr>
      <w:tr w:rsidR="004A0C6E" w:rsidRPr="000C5941" w14:paraId="1824D192" w14:textId="77777777" w:rsidTr="00D23DAC">
        <w:trPr>
          <w:trHeight w:val="315"/>
        </w:trPr>
        <w:tc>
          <w:tcPr>
            <w:tcW w:w="2002" w:type="pct"/>
            <w:tcBorders>
              <w:top w:val="single" w:sz="4" w:space="0" w:color="auto"/>
              <w:left w:val="nil"/>
              <w:bottom w:val="double" w:sz="6" w:space="0" w:color="auto"/>
              <w:right w:val="nil"/>
            </w:tcBorders>
            <w:shd w:val="clear" w:color="auto" w:fill="auto"/>
            <w:noWrap/>
            <w:vAlign w:val="bottom"/>
            <w:hideMark/>
          </w:tcPr>
          <w:p w14:paraId="0F7A41D5" w14:textId="77777777" w:rsidR="004A0C6E" w:rsidRPr="000C5941" w:rsidRDefault="004A0C6E" w:rsidP="00926896">
            <w:pPr>
              <w:rPr>
                <w:b/>
                <w:bCs/>
                <w:color w:val="000000"/>
                <w:sz w:val="18"/>
                <w:szCs w:val="18"/>
                <w:lang w:eastAsia="en-GB"/>
              </w:rPr>
            </w:pPr>
            <w:r w:rsidRPr="000C5941">
              <w:rPr>
                <w:b/>
                <w:bCs/>
                <w:color w:val="000000"/>
                <w:sz w:val="18"/>
                <w:szCs w:val="18"/>
                <w:lang w:eastAsia="en-GB"/>
              </w:rPr>
              <w:t>Net balance sheet position</w:t>
            </w:r>
          </w:p>
        </w:tc>
        <w:tc>
          <w:tcPr>
            <w:tcW w:w="960" w:type="pct"/>
            <w:tcBorders>
              <w:top w:val="single" w:sz="4" w:space="0" w:color="auto"/>
              <w:left w:val="nil"/>
              <w:bottom w:val="double" w:sz="6" w:space="0" w:color="auto"/>
              <w:right w:val="nil"/>
            </w:tcBorders>
            <w:shd w:val="clear" w:color="auto" w:fill="auto"/>
            <w:noWrap/>
            <w:vAlign w:val="bottom"/>
          </w:tcPr>
          <w:p w14:paraId="603C4E96" w14:textId="17DBEC63" w:rsidR="004A0C6E" w:rsidRPr="000C5941" w:rsidRDefault="005D0A75" w:rsidP="00926896">
            <w:pPr>
              <w:jc w:val="right"/>
              <w:rPr>
                <w:b/>
                <w:bCs/>
                <w:color w:val="000000"/>
                <w:sz w:val="18"/>
                <w:szCs w:val="18"/>
                <w:lang w:eastAsia="en-GB"/>
              </w:rPr>
            </w:pPr>
            <w:r>
              <w:rPr>
                <w:b/>
                <w:bCs/>
                <w:color w:val="000000"/>
                <w:sz w:val="18"/>
                <w:szCs w:val="18"/>
                <w:lang w:eastAsia="en-GB"/>
              </w:rPr>
              <w:t>9,613,254</w:t>
            </w:r>
          </w:p>
        </w:tc>
        <w:tc>
          <w:tcPr>
            <w:tcW w:w="998" w:type="pct"/>
            <w:tcBorders>
              <w:top w:val="single" w:sz="4" w:space="0" w:color="auto"/>
              <w:left w:val="nil"/>
              <w:bottom w:val="double" w:sz="6" w:space="0" w:color="auto"/>
              <w:right w:val="nil"/>
            </w:tcBorders>
            <w:shd w:val="clear" w:color="auto" w:fill="auto"/>
            <w:noWrap/>
            <w:vAlign w:val="bottom"/>
          </w:tcPr>
          <w:p w14:paraId="049FB1E7" w14:textId="120C7504" w:rsidR="004A0C6E" w:rsidRPr="000C5941" w:rsidRDefault="00D23DAC" w:rsidP="00926896">
            <w:pPr>
              <w:jc w:val="right"/>
              <w:rPr>
                <w:b/>
                <w:bCs/>
                <w:color w:val="000000"/>
                <w:sz w:val="18"/>
                <w:szCs w:val="18"/>
                <w:lang w:eastAsia="en-GB"/>
              </w:rPr>
            </w:pPr>
            <w:r>
              <w:rPr>
                <w:b/>
                <w:bCs/>
                <w:color w:val="000000"/>
                <w:sz w:val="18"/>
                <w:szCs w:val="18"/>
                <w:lang w:eastAsia="en-GB"/>
              </w:rPr>
              <w:t>10,915,732</w:t>
            </w:r>
          </w:p>
        </w:tc>
        <w:tc>
          <w:tcPr>
            <w:tcW w:w="1040" w:type="pct"/>
            <w:tcBorders>
              <w:top w:val="single" w:sz="4" w:space="0" w:color="auto"/>
              <w:left w:val="nil"/>
              <w:bottom w:val="double" w:sz="6" w:space="0" w:color="auto"/>
              <w:right w:val="nil"/>
            </w:tcBorders>
            <w:shd w:val="clear" w:color="auto" w:fill="auto"/>
            <w:noWrap/>
            <w:vAlign w:val="bottom"/>
          </w:tcPr>
          <w:p w14:paraId="7D78A37C" w14:textId="4D7C59A8" w:rsidR="004A0C6E" w:rsidRPr="000C5941" w:rsidRDefault="005D0A75" w:rsidP="00926896">
            <w:pPr>
              <w:jc w:val="right"/>
              <w:rPr>
                <w:b/>
                <w:bCs/>
                <w:color w:val="000000"/>
                <w:sz w:val="18"/>
                <w:szCs w:val="18"/>
                <w:lang w:eastAsia="en-GB"/>
              </w:rPr>
            </w:pPr>
            <w:r>
              <w:rPr>
                <w:b/>
                <w:bCs/>
                <w:color w:val="000000"/>
                <w:sz w:val="18"/>
                <w:szCs w:val="18"/>
                <w:lang w:eastAsia="en-GB"/>
              </w:rPr>
              <w:t>20,528,986</w:t>
            </w:r>
          </w:p>
        </w:tc>
      </w:tr>
    </w:tbl>
    <w:p w14:paraId="658A840B" w14:textId="60906C00" w:rsidR="000C5941" w:rsidRDefault="000C5941" w:rsidP="00FE53E7">
      <w:pPr>
        <w:spacing w:before="120" w:after="120"/>
        <w:rPr>
          <w:sz w:val="18"/>
          <w:szCs w:val="18"/>
        </w:rPr>
      </w:pPr>
    </w:p>
    <w:p w14:paraId="59CEE0A8" w14:textId="77777777" w:rsidR="005D0A75" w:rsidRDefault="005D0A75" w:rsidP="00121103">
      <w:pPr>
        <w:spacing w:before="120" w:after="120"/>
        <w:jc w:val="both"/>
        <w:rPr>
          <w:sz w:val="18"/>
          <w:szCs w:val="18"/>
        </w:rPr>
      </w:pPr>
    </w:p>
    <w:p w14:paraId="3CCADF77" w14:textId="028595C2" w:rsidR="00121103" w:rsidRPr="00EC690A" w:rsidRDefault="00121103" w:rsidP="00121103">
      <w:pPr>
        <w:spacing w:before="120" w:after="120"/>
        <w:jc w:val="both"/>
        <w:rPr>
          <w:sz w:val="18"/>
          <w:szCs w:val="18"/>
        </w:rPr>
      </w:pPr>
      <w:r w:rsidRPr="00EC690A">
        <w:rPr>
          <w:sz w:val="18"/>
          <w:szCs w:val="18"/>
        </w:rPr>
        <w:lastRenderedPageBreak/>
        <w:t xml:space="preserve">The Company issued insurance and reinsurance policies and bears expenses in currencies other than its functional currency. Depending on the revenue or expense stream, the appreciation or depreciation of currencies against the Azerbaijani </w:t>
      </w:r>
      <w:proofErr w:type="spellStart"/>
      <w:r w:rsidRPr="00EC690A">
        <w:rPr>
          <w:sz w:val="18"/>
          <w:szCs w:val="18"/>
        </w:rPr>
        <w:t>manat</w:t>
      </w:r>
      <w:proofErr w:type="spellEnd"/>
      <w:r w:rsidRPr="00EC690A">
        <w:rPr>
          <w:sz w:val="18"/>
          <w:szCs w:val="18"/>
        </w:rPr>
        <w:t xml:space="preserve"> may adversely affect the Company’s repayment ability and therefore increases the risk of future losses.</w:t>
      </w:r>
    </w:p>
    <w:p w14:paraId="25A4DB91" w14:textId="77777777" w:rsidR="00121103" w:rsidRDefault="00121103" w:rsidP="00121103">
      <w:pPr>
        <w:spacing w:before="120" w:after="120"/>
        <w:jc w:val="both"/>
        <w:rPr>
          <w:rFonts w:cs="Arial"/>
          <w:sz w:val="18"/>
          <w:szCs w:val="18"/>
        </w:rPr>
      </w:pPr>
      <w:r w:rsidRPr="00EC690A">
        <w:rPr>
          <w:rFonts w:cs="Arial"/>
          <w:sz w:val="18"/>
          <w:szCs w:val="18"/>
        </w:rPr>
        <w:t xml:space="preserve">The table below shows the change in the financial result and comprehensive income due to possible fluctuations of exchange rates used as at the reporting date if all other conditions remain unchanged. </w:t>
      </w:r>
    </w:p>
    <w:p w14:paraId="4DEBA1CF" w14:textId="14AF56E2" w:rsidR="00121103" w:rsidRPr="00EC690A" w:rsidRDefault="00121103" w:rsidP="00121103">
      <w:pPr>
        <w:spacing w:before="120" w:after="120"/>
        <w:jc w:val="both"/>
        <w:rPr>
          <w:rFonts w:cs="Arial"/>
          <w:sz w:val="18"/>
          <w:szCs w:val="18"/>
        </w:rPr>
      </w:pPr>
      <w:r w:rsidRPr="00EC690A">
        <w:rPr>
          <w:rFonts w:cs="Arial"/>
          <w:sz w:val="18"/>
          <w:szCs w:val="18"/>
        </w:rPr>
        <w:t xml:space="preserve">Reasonably expected exchange rate changes for each currency were projected </w:t>
      </w:r>
      <w:proofErr w:type="gramStart"/>
      <w:r w:rsidRPr="00EC690A">
        <w:rPr>
          <w:rFonts w:cs="Arial"/>
          <w:sz w:val="18"/>
          <w:szCs w:val="18"/>
        </w:rPr>
        <w:t>on the basis of</w:t>
      </w:r>
      <w:proofErr w:type="gramEnd"/>
      <w:r w:rsidRPr="00EC690A">
        <w:rPr>
          <w:rFonts w:cs="Arial"/>
          <w:sz w:val="18"/>
          <w:szCs w:val="18"/>
        </w:rPr>
        <w:t xml:space="preserve"> maximal exchange rate fluctuations in December 201</w:t>
      </w:r>
      <w:r>
        <w:rPr>
          <w:rFonts w:cs="Arial"/>
          <w:sz w:val="18"/>
          <w:szCs w:val="18"/>
        </w:rPr>
        <w:t>9</w:t>
      </w:r>
      <w:r w:rsidRPr="00EC690A">
        <w:rPr>
          <w:rFonts w:cs="Arial"/>
          <w:sz w:val="18"/>
          <w:szCs w:val="18"/>
        </w:rPr>
        <w:t xml:space="preserve"> and 201</w:t>
      </w:r>
      <w:r>
        <w:rPr>
          <w:rFonts w:cs="Arial"/>
          <w:sz w:val="18"/>
          <w:szCs w:val="18"/>
        </w:rPr>
        <w:t>8</w:t>
      </w:r>
      <w:r w:rsidRPr="00EC690A">
        <w:rPr>
          <w:rFonts w:cs="Arial"/>
          <w:sz w:val="18"/>
          <w:szCs w:val="18"/>
        </w:rPr>
        <w:t>.</w:t>
      </w:r>
    </w:p>
    <w:tbl>
      <w:tblPr>
        <w:tblW w:w="5028" w:type="pct"/>
        <w:tblLayout w:type="fixed"/>
        <w:tblLook w:val="04A0" w:firstRow="1" w:lastRow="0" w:firstColumn="1" w:lastColumn="0" w:noHBand="0" w:noVBand="1"/>
      </w:tblPr>
      <w:tblGrid>
        <w:gridCol w:w="2553"/>
        <w:gridCol w:w="1585"/>
        <w:gridCol w:w="1560"/>
        <w:gridCol w:w="1579"/>
        <w:gridCol w:w="1537"/>
      </w:tblGrid>
      <w:tr w:rsidR="00121103" w:rsidRPr="00EC690A" w14:paraId="00AD822E" w14:textId="77777777" w:rsidTr="00121103">
        <w:trPr>
          <w:trHeight w:val="422"/>
        </w:trPr>
        <w:tc>
          <w:tcPr>
            <w:tcW w:w="1448" w:type="pct"/>
            <w:tcBorders>
              <w:top w:val="nil"/>
              <w:left w:val="nil"/>
              <w:bottom w:val="nil"/>
              <w:right w:val="nil"/>
            </w:tcBorders>
            <w:shd w:val="clear" w:color="auto" w:fill="auto"/>
            <w:noWrap/>
            <w:vAlign w:val="bottom"/>
            <w:hideMark/>
          </w:tcPr>
          <w:p w14:paraId="2126900A" w14:textId="77777777" w:rsidR="00121103" w:rsidRPr="00EC690A" w:rsidRDefault="00121103" w:rsidP="00926896">
            <w:pPr>
              <w:rPr>
                <w:color w:val="000000"/>
                <w:sz w:val="18"/>
                <w:szCs w:val="18"/>
                <w:lang w:eastAsia="en-GB"/>
              </w:rPr>
            </w:pPr>
          </w:p>
        </w:tc>
        <w:tc>
          <w:tcPr>
            <w:tcW w:w="899" w:type="pct"/>
            <w:tcBorders>
              <w:top w:val="nil"/>
              <w:left w:val="nil"/>
              <w:bottom w:val="single" w:sz="4" w:space="0" w:color="auto"/>
              <w:right w:val="nil"/>
            </w:tcBorders>
            <w:shd w:val="clear" w:color="auto" w:fill="auto"/>
            <w:noWrap/>
            <w:vAlign w:val="bottom"/>
            <w:hideMark/>
          </w:tcPr>
          <w:p w14:paraId="5F709C0F" w14:textId="77777777" w:rsidR="00121103" w:rsidRPr="00EC690A" w:rsidRDefault="00121103" w:rsidP="00926896">
            <w:pPr>
              <w:jc w:val="right"/>
              <w:rPr>
                <w:color w:val="000000"/>
                <w:sz w:val="18"/>
                <w:szCs w:val="18"/>
                <w:lang w:eastAsia="en-GB"/>
              </w:rPr>
            </w:pPr>
            <w:r w:rsidRPr="00EC690A">
              <w:rPr>
                <w:color w:val="000000"/>
                <w:sz w:val="18"/>
                <w:szCs w:val="18"/>
                <w:lang w:eastAsia="en-GB"/>
              </w:rPr>
              <w:t> </w:t>
            </w:r>
          </w:p>
        </w:tc>
        <w:tc>
          <w:tcPr>
            <w:tcW w:w="885" w:type="pct"/>
            <w:tcBorders>
              <w:top w:val="nil"/>
              <w:left w:val="nil"/>
              <w:bottom w:val="single" w:sz="4" w:space="0" w:color="auto"/>
              <w:right w:val="nil"/>
            </w:tcBorders>
            <w:shd w:val="clear" w:color="auto" w:fill="auto"/>
            <w:noWrap/>
            <w:vAlign w:val="bottom"/>
            <w:hideMark/>
          </w:tcPr>
          <w:p w14:paraId="7E1FCFC6" w14:textId="1D38B3F4" w:rsidR="00121103" w:rsidRPr="00EC690A" w:rsidRDefault="00121103" w:rsidP="00926896">
            <w:pPr>
              <w:jc w:val="right"/>
              <w:rPr>
                <w:b/>
                <w:bCs/>
                <w:color w:val="000000"/>
                <w:sz w:val="18"/>
                <w:szCs w:val="18"/>
                <w:lang w:eastAsia="en-GB"/>
              </w:rPr>
            </w:pPr>
            <w:r w:rsidRPr="00EC690A">
              <w:rPr>
                <w:b/>
                <w:bCs/>
                <w:color w:val="000000"/>
                <w:sz w:val="18"/>
                <w:szCs w:val="18"/>
                <w:lang w:eastAsia="en-GB"/>
              </w:rPr>
              <w:t>201</w:t>
            </w:r>
            <w:r>
              <w:rPr>
                <w:b/>
                <w:bCs/>
                <w:color w:val="000000"/>
                <w:sz w:val="18"/>
                <w:szCs w:val="18"/>
                <w:lang w:eastAsia="en-GB"/>
              </w:rPr>
              <w:t>9</w:t>
            </w:r>
          </w:p>
        </w:tc>
        <w:tc>
          <w:tcPr>
            <w:tcW w:w="896" w:type="pct"/>
            <w:tcBorders>
              <w:top w:val="nil"/>
              <w:left w:val="nil"/>
              <w:bottom w:val="single" w:sz="4" w:space="0" w:color="auto"/>
              <w:right w:val="nil"/>
            </w:tcBorders>
            <w:shd w:val="clear" w:color="auto" w:fill="auto"/>
            <w:noWrap/>
            <w:vAlign w:val="bottom"/>
            <w:hideMark/>
          </w:tcPr>
          <w:p w14:paraId="2572E773" w14:textId="77777777" w:rsidR="00121103" w:rsidRPr="00EC690A" w:rsidRDefault="00121103" w:rsidP="00926896">
            <w:pPr>
              <w:jc w:val="right"/>
              <w:rPr>
                <w:b/>
                <w:bCs/>
                <w:color w:val="000000"/>
                <w:sz w:val="18"/>
                <w:szCs w:val="18"/>
                <w:lang w:eastAsia="en-GB"/>
              </w:rPr>
            </w:pPr>
            <w:r w:rsidRPr="00EC690A">
              <w:rPr>
                <w:b/>
                <w:bCs/>
                <w:color w:val="000000"/>
                <w:sz w:val="18"/>
                <w:szCs w:val="18"/>
                <w:lang w:eastAsia="en-GB"/>
              </w:rPr>
              <w:t> </w:t>
            </w:r>
          </w:p>
        </w:tc>
        <w:tc>
          <w:tcPr>
            <w:tcW w:w="872" w:type="pct"/>
            <w:tcBorders>
              <w:top w:val="nil"/>
              <w:left w:val="nil"/>
              <w:bottom w:val="single" w:sz="4" w:space="0" w:color="auto"/>
              <w:right w:val="nil"/>
            </w:tcBorders>
            <w:shd w:val="clear" w:color="auto" w:fill="auto"/>
            <w:noWrap/>
            <w:vAlign w:val="bottom"/>
            <w:hideMark/>
          </w:tcPr>
          <w:p w14:paraId="4425FED1" w14:textId="290D94CD" w:rsidR="00121103" w:rsidRPr="00EC690A" w:rsidRDefault="00121103" w:rsidP="00926896">
            <w:pPr>
              <w:jc w:val="right"/>
              <w:rPr>
                <w:b/>
                <w:bCs/>
                <w:color w:val="000000"/>
                <w:sz w:val="18"/>
                <w:szCs w:val="18"/>
                <w:lang w:eastAsia="en-GB"/>
              </w:rPr>
            </w:pPr>
            <w:r w:rsidRPr="00EC690A">
              <w:rPr>
                <w:b/>
                <w:bCs/>
                <w:color w:val="000000"/>
                <w:sz w:val="18"/>
                <w:szCs w:val="18"/>
                <w:lang w:eastAsia="en-GB"/>
              </w:rPr>
              <w:t>201</w:t>
            </w:r>
            <w:r>
              <w:rPr>
                <w:b/>
                <w:bCs/>
                <w:color w:val="000000"/>
                <w:sz w:val="18"/>
                <w:szCs w:val="18"/>
                <w:lang w:eastAsia="en-GB"/>
              </w:rPr>
              <w:t>8</w:t>
            </w:r>
          </w:p>
        </w:tc>
      </w:tr>
      <w:tr w:rsidR="00121103" w:rsidRPr="00EC690A" w14:paraId="1E727C2D" w14:textId="77777777" w:rsidTr="00121103">
        <w:trPr>
          <w:trHeight w:val="722"/>
        </w:trPr>
        <w:tc>
          <w:tcPr>
            <w:tcW w:w="1448" w:type="pct"/>
            <w:tcBorders>
              <w:top w:val="nil"/>
              <w:left w:val="nil"/>
              <w:bottom w:val="single" w:sz="4" w:space="0" w:color="auto"/>
              <w:right w:val="nil"/>
            </w:tcBorders>
            <w:shd w:val="clear" w:color="auto" w:fill="auto"/>
            <w:noWrap/>
            <w:vAlign w:val="bottom"/>
            <w:hideMark/>
          </w:tcPr>
          <w:p w14:paraId="1B67C18E" w14:textId="77777777" w:rsidR="00121103" w:rsidRPr="00EC690A" w:rsidRDefault="00121103" w:rsidP="00926896">
            <w:pPr>
              <w:rPr>
                <w:b/>
                <w:bCs/>
                <w:color w:val="000000"/>
                <w:sz w:val="18"/>
                <w:szCs w:val="18"/>
                <w:lang w:eastAsia="en-GB"/>
              </w:rPr>
            </w:pPr>
            <w:r w:rsidRPr="00EC690A">
              <w:rPr>
                <w:b/>
                <w:bCs/>
                <w:color w:val="000000"/>
                <w:sz w:val="18"/>
                <w:szCs w:val="18"/>
                <w:lang w:eastAsia="en-GB"/>
              </w:rPr>
              <w:t> </w:t>
            </w:r>
          </w:p>
        </w:tc>
        <w:tc>
          <w:tcPr>
            <w:tcW w:w="899" w:type="pct"/>
            <w:tcBorders>
              <w:top w:val="nil"/>
              <w:left w:val="nil"/>
              <w:bottom w:val="single" w:sz="4" w:space="0" w:color="auto"/>
              <w:right w:val="nil"/>
            </w:tcBorders>
            <w:shd w:val="clear" w:color="auto" w:fill="auto"/>
            <w:vAlign w:val="bottom"/>
            <w:hideMark/>
          </w:tcPr>
          <w:p w14:paraId="767929D1" w14:textId="77777777" w:rsidR="00121103" w:rsidRPr="00EC690A" w:rsidRDefault="00121103" w:rsidP="00121103">
            <w:pPr>
              <w:jc w:val="right"/>
              <w:rPr>
                <w:b/>
                <w:bCs/>
                <w:color w:val="000000"/>
                <w:sz w:val="18"/>
                <w:szCs w:val="18"/>
                <w:lang w:eastAsia="en-GB"/>
              </w:rPr>
            </w:pPr>
            <w:r w:rsidRPr="00EC690A">
              <w:rPr>
                <w:b/>
                <w:bCs/>
                <w:color w:val="000000"/>
                <w:sz w:val="18"/>
                <w:szCs w:val="18"/>
                <w:lang w:eastAsia="en-GB"/>
              </w:rPr>
              <w:t>Effect on profit or loss before taxation</w:t>
            </w:r>
          </w:p>
        </w:tc>
        <w:tc>
          <w:tcPr>
            <w:tcW w:w="885" w:type="pct"/>
            <w:tcBorders>
              <w:top w:val="nil"/>
              <w:left w:val="nil"/>
              <w:bottom w:val="single" w:sz="4" w:space="0" w:color="auto"/>
              <w:right w:val="nil"/>
            </w:tcBorders>
            <w:shd w:val="clear" w:color="auto" w:fill="auto"/>
            <w:vAlign w:val="bottom"/>
            <w:hideMark/>
          </w:tcPr>
          <w:p w14:paraId="21463C56" w14:textId="77777777" w:rsidR="00121103" w:rsidRPr="00EC690A" w:rsidRDefault="00121103" w:rsidP="00121103">
            <w:pPr>
              <w:jc w:val="right"/>
              <w:rPr>
                <w:b/>
                <w:bCs/>
                <w:color w:val="000000"/>
                <w:sz w:val="18"/>
                <w:szCs w:val="18"/>
                <w:lang w:eastAsia="en-GB"/>
              </w:rPr>
            </w:pPr>
            <w:r w:rsidRPr="00EC690A">
              <w:rPr>
                <w:b/>
                <w:bCs/>
                <w:color w:val="000000"/>
                <w:sz w:val="18"/>
                <w:szCs w:val="18"/>
                <w:lang w:eastAsia="en-GB"/>
              </w:rPr>
              <w:t>Effect on comprehensive income</w:t>
            </w:r>
          </w:p>
        </w:tc>
        <w:tc>
          <w:tcPr>
            <w:tcW w:w="896" w:type="pct"/>
            <w:tcBorders>
              <w:top w:val="nil"/>
              <w:left w:val="nil"/>
              <w:bottom w:val="single" w:sz="4" w:space="0" w:color="auto"/>
              <w:right w:val="nil"/>
            </w:tcBorders>
            <w:shd w:val="clear" w:color="auto" w:fill="auto"/>
            <w:vAlign w:val="bottom"/>
            <w:hideMark/>
          </w:tcPr>
          <w:p w14:paraId="1E8585C9" w14:textId="77777777" w:rsidR="00121103" w:rsidRPr="00EC690A" w:rsidRDefault="00121103" w:rsidP="00121103">
            <w:pPr>
              <w:jc w:val="right"/>
              <w:rPr>
                <w:b/>
                <w:bCs/>
                <w:color w:val="000000"/>
                <w:sz w:val="18"/>
                <w:szCs w:val="18"/>
                <w:lang w:eastAsia="en-GB"/>
              </w:rPr>
            </w:pPr>
            <w:r w:rsidRPr="00EC690A">
              <w:rPr>
                <w:b/>
                <w:bCs/>
                <w:color w:val="000000"/>
                <w:sz w:val="18"/>
                <w:szCs w:val="18"/>
                <w:lang w:eastAsia="en-GB"/>
              </w:rPr>
              <w:t>Effect on profit or loss before taxation</w:t>
            </w:r>
          </w:p>
        </w:tc>
        <w:tc>
          <w:tcPr>
            <w:tcW w:w="872" w:type="pct"/>
            <w:tcBorders>
              <w:top w:val="nil"/>
              <w:left w:val="nil"/>
              <w:bottom w:val="single" w:sz="4" w:space="0" w:color="auto"/>
              <w:right w:val="nil"/>
            </w:tcBorders>
            <w:shd w:val="clear" w:color="auto" w:fill="auto"/>
            <w:vAlign w:val="bottom"/>
            <w:hideMark/>
          </w:tcPr>
          <w:p w14:paraId="036A41FF" w14:textId="77777777" w:rsidR="00121103" w:rsidRPr="00EC690A" w:rsidRDefault="00121103" w:rsidP="00121103">
            <w:pPr>
              <w:jc w:val="right"/>
              <w:rPr>
                <w:b/>
                <w:bCs/>
                <w:color w:val="000000"/>
                <w:sz w:val="18"/>
                <w:szCs w:val="18"/>
                <w:lang w:eastAsia="en-GB"/>
              </w:rPr>
            </w:pPr>
            <w:r w:rsidRPr="00EC690A">
              <w:rPr>
                <w:b/>
                <w:bCs/>
                <w:color w:val="000000"/>
                <w:sz w:val="18"/>
                <w:szCs w:val="18"/>
                <w:lang w:eastAsia="en-GB"/>
              </w:rPr>
              <w:t>Effect on comprehensive income</w:t>
            </w:r>
          </w:p>
        </w:tc>
      </w:tr>
      <w:tr w:rsidR="00121103" w:rsidRPr="00EC690A" w14:paraId="67E9404F" w14:textId="77777777" w:rsidTr="00121103">
        <w:trPr>
          <w:trHeight w:hRule="exact" w:val="569"/>
        </w:trPr>
        <w:tc>
          <w:tcPr>
            <w:tcW w:w="1448" w:type="pct"/>
            <w:tcBorders>
              <w:top w:val="nil"/>
              <w:left w:val="nil"/>
              <w:right w:val="nil"/>
            </w:tcBorders>
            <w:shd w:val="clear" w:color="auto" w:fill="auto"/>
            <w:noWrap/>
            <w:vAlign w:val="center"/>
            <w:hideMark/>
          </w:tcPr>
          <w:p w14:paraId="15969704" w14:textId="744DFA54" w:rsidR="00121103" w:rsidRPr="00EC690A" w:rsidRDefault="00121103" w:rsidP="00926896">
            <w:pPr>
              <w:rPr>
                <w:color w:val="000000"/>
                <w:sz w:val="18"/>
                <w:szCs w:val="18"/>
                <w:lang w:eastAsia="en-GB"/>
              </w:rPr>
            </w:pPr>
            <w:r w:rsidRPr="00EC690A">
              <w:rPr>
                <w:color w:val="000000"/>
                <w:sz w:val="18"/>
                <w:szCs w:val="18"/>
                <w:lang w:eastAsia="en-GB"/>
              </w:rPr>
              <w:t xml:space="preserve">USD appreciation by </w:t>
            </w:r>
            <w:r>
              <w:rPr>
                <w:color w:val="000000"/>
                <w:sz w:val="18"/>
                <w:szCs w:val="18"/>
                <w:lang w:eastAsia="en-GB"/>
              </w:rPr>
              <w:t>4</w:t>
            </w:r>
            <w:r w:rsidRPr="00EC690A">
              <w:rPr>
                <w:color w:val="000000"/>
                <w:sz w:val="18"/>
                <w:szCs w:val="18"/>
                <w:lang w:eastAsia="en-GB"/>
              </w:rPr>
              <w:t>% (201</w:t>
            </w:r>
            <w:r>
              <w:rPr>
                <w:color w:val="000000"/>
                <w:sz w:val="18"/>
                <w:szCs w:val="18"/>
                <w:lang w:eastAsia="en-GB"/>
              </w:rPr>
              <w:t>8</w:t>
            </w:r>
            <w:r w:rsidRPr="00EC690A">
              <w:rPr>
                <w:color w:val="000000"/>
                <w:sz w:val="18"/>
                <w:szCs w:val="18"/>
                <w:lang w:eastAsia="en-GB"/>
              </w:rPr>
              <w:t xml:space="preserve">: </w:t>
            </w:r>
            <w:r>
              <w:rPr>
                <w:color w:val="000000"/>
                <w:sz w:val="18"/>
                <w:szCs w:val="18"/>
                <w:lang w:eastAsia="en-GB"/>
              </w:rPr>
              <w:t>4</w:t>
            </w:r>
            <w:r w:rsidRPr="00EC690A">
              <w:rPr>
                <w:color w:val="000000"/>
                <w:sz w:val="18"/>
                <w:szCs w:val="18"/>
                <w:lang w:eastAsia="en-GB"/>
              </w:rPr>
              <w:t>%)</w:t>
            </w:r>
          </w:p>
        </w:tc>
        <w:tc>
          <w:tcPr>
            <w:tcW w:w="899" w:type="pct"/>
            <w:tcBorders>
              <w:top w:val="nil"/>
              <w:left w:val="nil"/>
              <w:right w:val="nil"/>
            </w:tcBorders>
            <w:shd w:val="clear" w:color="auto" w:fill="auto"/>
            <w:noWrap/>
            <w:vAlign w:val="center"/>
          </w:tcPr>
          <w:p w14:paraId="4D2C272E" w14:textId="2A8E3EFA" w:rsidR="00121103" w:rsidRPr="00EC690A" w:rsidRDefault="00555E3F" w:rsidP="00121103">
            <w:pPr>
              <w:jc w:val="right"/>
              <w:rPr>
                <w:color w:val="000000"/>
                <w:sz w:val="18"/>
                <w:szCs w:val="18"/>
                <w:lang w:eastAsia="en-GB"/>
              </w:rPr>
            </w:pPr>
            <w:r>
              <w:rPr>
                <w:color w:val="000000"/>
                <w:sz w:val="18"/>
                <w:szCs w:val="18"/>
                <w:lang w:eastAsia="en-GB"/>
              </w:rPr>
              <w:t>534,221</w:t>
            </w:r>
          </w:p>
        </w:tc>
        <w:tc>
          <w:tcPr>
            <w:tcW w:w="885" w:type="pct"/>
            <w:tcBorders>
              <w:top w:val="nil"/>
              <w:left w:val="nil"/>
              <w:right w:val="nil"/>
            </w:tcBorders>
            <w:shd w:val="clear" w:color="auto" w:fill="auto"/>
            <w:noWrap/>
            <w:vAlign w:val="center"/>
          </w:tcPr>
          <w:p w14:paraId="31E7E86D" w14:textId="2BA946DE" w:rsidR="00121103" w:rsidRPr="00EC690A" w:rsidRDefault="00555E3F" w:rsidP="00121103">
            <w:pPr>
              <w:jc w:val="right"/>
              <w:rPr>
                <w:color w:val="000000"/>
                <w:sz w:val="18"/>
                <w:szCs w:val="18"/>
                <w:lang w:eastAsia="en-GB"/>
              </w:rPr>
            </w:pPr>
            <w:r>
              <w:rPr>
                <w:color w:val="000000"/>
                <w:sz w:val="18"/>
                <w:szCs w:val="18"/>
                <w:lang w:eastAsia="en-GB"/>
              </w:rPr>
              <w:t>427,377</w:t>
            </w:r>
          </w:p>
        </w:tc>
        <w:tc>
          <w:tcPr>
            <w:tcW w:w="896" w:type="pct"/>
            <w:tcBorders>
              <w:top w:val="nil"/>
              <w:left w:val="nil"/>
              <w:right w:val="nil"/>
            </w:tcBorders>
            <w:shd w:val="clear" w:color="auto" w:fill="auto"/>
            <w:noWrap/>
            <w:vAlign w:val="center"/>
            <w:hideMark/>
          </w:tcPr>
          <w:p w14:paraId="28CC79D6" w14:textId="7D3AB483" w:rsidR="00121103" w:rsidRPr="00EC690A" w:rsidRDefault="00121103" w:rsidP="00121103">
            <w:pPr>
              <w:jc w:val="right"/>
              <w:rPr>
                <w:color w:val="000000"/>
                <w:sz w:val="18"/>
                <w:szCs w:val="18"/>
                <w:lang w:eastAsia="en-GB"/>
              </w:rPr>
            </w:pPr>
            <w:r w:rsidRPr="00EC690A">
              <w:rPr>
                <w:color w:val="000000"/>
                <w:sz w:val="18"/>
                <w:szCs w:val="18"/>
              </w:rPr>
              <w:t xml:space="preserve">             </w:t>
            </w:r>
            <w:r>
              <w:rPr>
                <w:color w:val="000000"/>
                <w:sz w:val="18"/>
                <w:szCs w:val="18"/>
              </w:rPr>
              <w:t>436,557</w:t>
            </w:r>
            <w:r w:rsidRPr="00EC690A">
              <w:rPr>
                <w:color w:val="000000"/>
                <w:sz w:val="18"/>
                <w:szCs w:val="18"/>
              </w:rPr>
              <w:t xml:space="preserve"> </w:t>
            </w:r>
          </w:p>
        </w:tc>
        <w:tc>
          <w:tcPr>
            <w:tcW w:w="872" w:type="pct"/>
            <w:tcBorders>
              <w:top w:val="nil"/>
              <w:left w:val="nil"/>
              <w:right w:val="nil"/>
            </w:tcBorders>
            <w:shd w:val="clear" w:color="auto" w:fill="auto"/>
            <w:noWrap/>
            <w:vAlign w:val="center"/>
            <w:hideMark/>
          </w:tcPr>
          <w:p w14:paraId="476AD139" w14:textId="36F8AE12" w:rsidR="00121103" w:rsidRPr="00EC690A" w:rsidRDefault="00121103" w:rsidP="00121103">
            <w:pPr>
              <w:jc w:val="right"/>
              <w:rPr>
                <w:color w:val="000000"/>
                <w:sz w:val="18"/>
                <w:szCs w:val="18"/>
                <w:lang w:eastAsia="en-GB"/>
              </w:rPr>
            </w:pPr>
            <w:r w:rsidRPr="00EC690A">
              <w:rPr>
                <w:color w:val="000000"/>
                <w:sz w:val="18"/>
                <w:szCs w:val="18"/>
              </w:rPr>
              <w:t xml:space="preserve">            </w:t>
            </w:r>
            <w:r>
              <w:rPr>
                <w:color w:val="000000"/>
                <w:sz w:val="18"/>
                <w:szCs w:val="18"/>
              </w:rPr>
              <w:t>349,249</w:t>
            </w:r>
            <w:r w:rsidRPr="00EC690A">
              <w:rPr>
                <w:color w:val="000000"/>
                <w:sz w:val="18"/>
                <w:szCs w:val="18"/>
              </w:rPr>
              <w:t xml:space="preserve"> </w:t>
            </w:r>
          </w:p>
        </w:tc>
      </w:tr>
      <w:tr w:rsidR="00121103" w:rsidRPr="00EC690A" w14:paraId="40472B69" w14:textId="77777777" w:rsidTr="00121103">
        <w:trPr>
          <w:trHeight w:hRule="exact" w:val="582"/>
        </w:trPr>
        <w:tc>
          <w:tcPr>
            <w:tcW w:w="1448" w:type="pct"/>
            <w:tcBorders>
              <w:top w:val="nil"/>
              <w:left w:val="nil"/>
              <w:bottom w:val="single" w:sz="4" w:space="0" w:color="auto"/>
              <w:right w:val="nil"/>
            </w:tcBorders>
            <w:shd w:val="clear" w:color="auto" w:fill="auto"/>
            <w:noWrap/>
            <w:vAlign w:val="center"/>
            <w:hideMark/>
          </w:tcPr>
          <w:p w14:paraId="7A551746" w14:textId="34D12350" w:rsidR="00121103" w:rsidRPr="00EC690A" w:rsidRDefault="00121103" w:rsidP="00926896">
            <w:pPr>
              <w:rPr>
                <w:color w:val="000000"/>
                <w:sz w:val="18"/>
                <w:szCs w:val="18"/>
                <w:lang w:eastAsia="en-GB"/>
              </w:rPr>
            </w:pPr>
            <w:r w:rsidRPr="00EC690A">
              <w:rPr>
                <w:color w:val="000000"/>
                <w:sz w:val="18"/>
                <w:szCs w:val="18"/>
                <w:lang w:eastAsia="en-GB"/>
              </w:rPr>
              <w:t xml:space="preserve">USD depreciation by </w:t>
            </w:r>
            <w:r>
              <w:rPr>
                <w:color w:val="000000"/>
                <w:sz w:val="18"/>
                <w:szCs w:val="18"/>
                <w:lang w:eastAsia="en-GB"/>
              </w:rPr>
              <w:t>4</w:t>
            </w:r>
            <w:r w:rsidRPr="00EC690A">
              <w:rPr>
                <w:color w:val="000000"/>
                <w:sz w:val="18"/>
                <w:szCs w:val="18"/>
                <w:lang w:eastAsia="en-GB"/>
              </w:rPr>
              <w:t>% (201</w:t>
            </w:r>
            <w:r>
              <w:rPr>
                <w:color w:val="000000"/>
                <w:sz w:val="18"/>
                <w:szCs w:val="18"/>
                <w:lang w:eastAsia="en-GB"/>
              </w:rPr>
              <w:t>8</w:t>
            </w:r>
            <w:r w:rsidRPr="00EC690A">
              <w:rPr>
                <w:color w:val="000000"/>
                <w:sz w:val="18"/>
                <w:szCs w:val="18"/>
                <w:lang w:eastAsia="en-GB"/>
              </w:rPr>
              <w:t xml:space="preserve">: </w:t>
            </w:r>
            <w:r>
              <w:rPr>
                <w:color w:val="000000"/>
                <w:sz w:val="18"/>
                <w:szCs w:val="18"/>
                <w:lang w:eastAsia="en-GB"/>
              </w:rPr>
              <w:t>4</w:t>
            </w:r>
            <w:r w:rsidRPr="00EC690A">
              <w:rPr>
                <w:color w:val="000000"/>
                <w:sz w:val="18"/>
                <w:szCs w:val="18"/>
                <w:lang w:eastAsia="en-GB"/>
              </w:rPr>
              <w:t>%)</w:t>
            </w:r>
          </w:p>
        </w:tc>
        <w:tc>
          <w:tcPr>
            <w:tcW w:w="899" w:type="pct"/>
            <w:tcBorders>
              <w:top w:val="nil"/>
              <w:left w:val="nil"/>
              <w:bottom w:val="single" w:sz="4" w:space="0" w:color="auto"/>
              <w:right w:val="nil"/>
            </w:tcBorders>
            <w:shd w:val="clear" w:color="auto" w:fill="auto"/>
            <w:noWrap/>
            <w:vAlign w:val="center"/>
          </w:tcPr>
          <w:p w14:paraId="2D6ACCF2" w14:textId="32152B8D" w:rsidR="00121103" w:rsidRPr="00EC690A" w:rsidRDefault="00555E3F" w:rsidP="00121103">
            <w:pPr>
              <w:jc w:val="right"/>
              <w:rPr>
                <w:color w:val="000000"/>
                <w:sz w:val="18"/>
                <w:szCs w:val="18"/>
                <w:lang w:eastAsia="en-GB"/>
              </w:rPr>
            </w:pPr>
            <w:r>
              <w:rPr>
                <w:color w:val="000000"/>
                <w:sz w:val="18"/>
                <w:szCs w:val="18"/>
                <w:lang w:eastAsia="en-GB"/>
              </w:rPr>
              <w:t>(534,221)</w:t>
            </w:r>
          </w:p>
        </w:tc>
        <w:tc>
          <w:tcPr>
            <w:tcW w:w="885" w:type="pct"/>
            <w:tcBorders>
              <w:top w:val="nil"/>
              <w:left w:val="nil"/>
              <w:bottom w:val="single" w:sz="4" w:space="0" w:color="auto"/>
              <w:right w:val="nil"/>
            </w:tcBorders>
            <w:shd w:val="clear" w:color="auto" w:fill="auto"/>
            <w:noWrap/>
            <w:vAlign w:val="center"/>
          </w:tcPr>
          <w:p w14:paraId="754524C5" w14:textId="65E99BD3" w:rsidR="00121103" w:rsidRPr="00EC690A" w:rsidRDefault="00555E3F" w:rsidP="00121103">
            <w:pPr>
              <w:jc w:val="right"/>
              <w:rPr>
                <w:color w:val="000000"/>
                <w:sz w:val="18"/>
                <w:szCs w:val="18"/>
                <w:lang w:eastAsia="en-GB"/>
              </w:rPr>
            </w:pPr>
            <w:r>
              <w:rPr>
                <w:color w:val="000000"/>
                <w:sz w:val="18"/>
                <w:szCs w:val="18"/>
                <w:lang w:eastAsia="en-GB"/>
              </w:rPr>
              <w:t>(427,377)</w:t>
            </w:r>
          </w:p>
        </w:tc>
        <w:tc>
          <w:tcPr>
            <w:tcW w:w="896" w:type="pct"/>
            <w:tcBorders>
              <w:top w:val="nil"/>
              <w:left w:val="nil"/>
              <w:bottom w:val="single" w:sz="4" w:space="0" w:color="auto"/>
              <w:right w:val="nil"/>
            </w:tcBorders>
            <w:shd w:val="clear" w:color="auto" w:fill="auto"/>
            <w:noWrap/>
            <w:vAlign w:val="center"/>
            <w:hideMark/>
          </w:tcPr>
          <w:p w14:paraId="78A096FE" w14:textId="44180E6A" w:rsidR="00121103" w:rsidRPr="00EC690A" w:rsidRDefault="00121103" w:rsidP="00121103">
            <w:pPr>
              <w:jc w:val="right"/>
              <w:rPr>
                <w:color w:val="000000"/>
                <w:sz w:val="18"/>
                <w:szCs w:val="18"/>
                <w:lang w:eastAsia="en-GB"/>
              </w:rPr>
            </w:pPr>
            <w:r w:rsidRPr="00EC690A">
              <w:rPr>
                <w:color w:val="000000"/>
                <w:sz w:val="18"/>
                <w:szCs w:val="18"/>
              </w:rPr>
              <w:t xml:space="preserve">           (</w:t>
            </w:r>
            <w:r>
              <w:rPr>
                <w:color w:val="000000"/>
                <w:sz w:val="18"/>
                <w:szCs w:val="18"/>
              </w:rPr>
              <w:t>436,557</w:t>
            </w:r>
            <w:r w:rsidRPr="00EC690A">
              <w:rPr>
                <w:color w:val="000000"/>
                <w:sz w:val="18"/>
                <w:szCs w:val="18"/>
              </w:rPr>
              <w:t>)</w:t>
            </w:r>
          </w:p>
        </w:tc>
        <w:tc>
          <w:tcPr>
            <w:tcW w:w="872" w:type="pct"/>
            <w:tcBorders>
              <w:top w:val="nil"/>
              <w:left w:val="nil"/>
              <w:bottom w:val="single" w:sz="4" w:space="0" w:color="auto"/>
              <w:right w:val="nil"/>
            </w:tcBorders>
            <w:shd w:val="clear" w:color="auto" w:fill="auto"/>
            <w:noWrap/>
            <w:vAlign w:val="center"/>
            <w:hideMark/>
          </w:tcPr>
          <w:p w14:paraId="43CD912C" w14:textId="545CCA82" w:rsidR="00121103" w:rsidRPr="00EC690A" w:rsidRDefault="00121103" w:rsidP="00121103">
            <w:pPr>
              <w:jc w:val="right"/>
              <w:rPr>
                <w:color w:val="000000"/>
                <w:sz w:val="18"/>
                <w:szCs w:val="18"/>
                <w:lang w:eastAsia="en-GB"/>
              </w:rPr>
            </w:pPr>
            <w:r w:rsidRPr="00EC690A">
              <w:rPr>
                <w:color w:val="000000"/>
                <w:sz w:val="18"/>
                <w:szCs w:val="18"/>
              </w:rPr>
              <w:t xml:space="preserve">          (</w:t>
            </w:r>
            <w:r>
              <w:rPr>
                <w:color w:val="000000"/>
                <w:sz w:val="18"/>
                <w:szCs w:val="18"/>
              </w:rPr>
              <w:t>349,249</w:t>
            </w:r>
            <w:r w:rsidRPr="00EC690A">
              <w:rPr>
                <w:color w:val="000000"/>
                <w:sz w:val="18"/>
                <w:szCs w:val="18"/>
              </w:rPr>
              <w:t>)</w:t>
            </w:r>
          </w:p>
        </w:tc>
      </w:tr>
    </w:tbl>
    <w:p w14:paraId="1A61D19B" w14:textId="77777777" w:rsidR="00121103" w:rsidRPr="00EC690A" w:rsidRDefault="00121103" w:rsidP="00765EB1">
      <w:pPr>
        <w:spacing w:before="240"/>
        <w:jc w:val="both"/>
        <w:rPr>
          <w:sz w:val="18"/>
          <w:szCs w:val="18"/>
        </w:rPr>
      </w:pPr>
      <w:r w:rsidRPr="00EC690A">
        <w:rPr>
          <w:sz w:val="18"/>
          <w:szCs w:val="18"/>
        </w:rPr>
        <w:t>The risk was calculated only for balances in currencies other than the Company’s functional currency.</w:t>
      </w:r>
    </w:p>
    <w:p w14:paraId="35B2EDD1" w14:textId="77777777" w:rsidR="00121103" w:rsidRPr="00EC690A" w:rsidRDefault="00121103" w:rsidP="00765EB1">
      <w:pPr>
        <w:spacing w:before="120"/>
        <w:jc w:val="both"/>
        <w:rPr>
          <w:b/>
          <w:i/>
          <w:sz w:val="18"/>
          <w:szCs w:val="18"/>
        </w:rPr>
      </w:pPr>
      <w:r w:rsidRPr="00EC690A">
        <w:rPr>
          <w:b/>
          <w:i/>
          <w:sz w:val="18"/>
          <w:szCs w:val="18"/>
        </w:rPr>
        <w:t>Liquidity risk.</w:t>
      </w:r>
      <w:r w:rsidRPr="00EC690A">
        <w:rPr>
          <w:bCs/>
          <w:iCs/>
          <w:sz w:val="18"/>
          <w:szCs w:val="18"/>
        </w:rPr>
        <w:t xml:space="preserve"> </w:t>
      </w:r>
      <w:r w:rsidRPr="00EC690A">
        <w:rPr>
          <w:sz w:val="18"/>
          <w:szCs w:val="18"/>
        </w:rPr>
        <w:t xml:space="preserve">Liquidity risk is defined as the risk when the maturity of assets and liabilities does not match. The Company is exposed to this risk via insurance and reinsurance claims, payables to suppliers and government authorities. The Company does not accumulate cash resources to meet calls on all liabilities mentioned above, as based on the existing practice, it is possible to forecast with a sufficient degree of certainty the required level of cash funds necessary to meet the above obligations. </w:t>
      </w:r>
      <w:r w:rsidRPr="00EC690A">
        <w:rPr>
          <w:sz w:val="18"/>
          <w:szCs w:val="18"/>
          <w:shd w:val="clear" w:color="auto" w:fill="FFFFFF"/>
        </w:rPr>
        <w:t>Liquidity risk is overseen by t</w:t>
      </w:r>
      <w:r w:rsidRPr="00EC690A">
        <w:rPr>
          <w:rFonts w:cs="Univers-45Light"/>
          <w:sz w:val="18"/>
          <w:szCs w:val="18"/>
          <w:shd w:val="clear" w:color="auto" w:fill="FFFFFF"/>
        </w:rPr>
        <w:t>he management</w:t>
      </w:r>
      <w:r w:rsidRPr="00EC690A">
        <w:rPr>
          <w:sz w:val="18"/>
          <w:szCs w:val="18"/>
          <w:shd w:val="clear" w:color="auto" w:fill="FFFFFF"/>
        </w:rPr>
        <w:t xml:space="preserve"> with regard for decisions of the Company’s Board for decision making in asset formation and transaction funding requirements.</w:t>
      </w:r>
    </w:p>
    <w:p w14:paraId="2C5A41D8" w14:textId="77777777" w:rsidR="00121103" w:rsidRPr="00EC690A" w:rsidRDefault="00121103" w:rsidP="00765EB1">
      <w:pPr>
        <w:spacing w:before="120"/>
        <w:jc w:val="both"/>
        <w:rPr>
          <w:sz w:val="18"/>
          <w:szCs w:val="18"/>
        </w:rPr>
      </w:pPr>
      <w:r w:rsidRPr="00EC690A">
        <w:rPr>
          <w:rFonts w:cs="TimesNewRoman"/>
          <w:color w:val="000000"/>
          <w:sz w:val="18"/>
          <w:szCs w:val="18"/>
        </w:rPr>
        <w:t xml:space="preserve">The Company is keen on maintaining stable financing predominantly consisting of claims for insurance benefits </w:t>
      </w:r>
      <w:proofErr w:type="gramStart"/>
      <w:r w:rsidRPr="00EC690A">
        <w:rPr>
          <w:rFonts w:cs="TimesNewRoman"/>
          <w:color w:val="000000"/>
          <w:sz w:val="18"/>
          <w:szCs w:val="18"/>
        </w:rPr>
        <w:t>and also</w:t>
      </w:r>
      <w:proofErr w:type="gramEnd"/>
      <w:r w:rsidRPr="00EC690A">
        <w:rPr>
          <w:rFonts w:cs="TimesNewRoman"/>
          <w:color w:val="000000"/>
          <w:sz w:val="18"/>
          <w:szCs w:val="18"/>
        </w:rPr>
        <w:t xml:space="preserve"> on investing funds in diversified liquid asset portfolios to be able to meet unexpected liquidity needs quickly and unhampered</w:t>
      </w:r>
      <w:r w:rsidRPr="00EC690A">
        <w:rPr>
          <w:sz w:val="18"/>
          <w:szCs w:val="18"/>
        </w:rPr>
        <w:t xml:space="preserve">. </w:t>
      </w:r>
    </w:p>
    <w:p w14:paraId="1D9CC9EC" w14:textId="77777777" w:rsidR="00121103" w:rsidRPr="00EC690A" w:rsidRDefault="00121103" w:rsidP="00765EB1">
      <w:pPr>
        <w:spacing w:before="120"/>
        <w:jc w:val="both"/>
        <w:rPr>
          <w:sz w:val="18"/>
          <w:szCs w:val="18"/>
        </w:rPr>
      </w:pPr>
      <w:r w:rsidRPr="00EC690A">
        <w:rPr>
          <w:sz w:val="18"/>
          <w:szCs w:val="18"/>
        </w:rPr>
        <w:t xml:space="preserve">To manage its liquidity, the Company is required to analyse the level of liquid assets needed to settle the liabilities on their maturity by providing access to various sources of financing, drawing up plans to solve the problems with financing and exercising control over compliance of the liquidity ratios with the laws and regulations. </w:t>
      </w:r>
    </w:p>
    <w:p w14:paraId="22FB1D08" w14:textId="77777777" w:rsidR="00121103" w:rsidRPr="00EC690A" w:rsidRDefault="00121103" w:rsidP="00765EB1">
      <w:pPr>
        <w:shd w:val="clear" w:color="auto" w:fill="FFFFFF"/>
        <w:spacing w:before="120"/>
        <w:jc w:val="both"/>
        <w:rPr>
          <w:rFonts w:cs="Univers-45Light"/>
          <w:sz w:val="18"/>
          <w:szCs w:val="18"/>
        </w:rPr>
      </w:pPr>
      <w:r w:rsidRPr="00EC690A">
        <w:rPr>
          <w:rFonts w:cs="Univers-45Light"/>
          <w:sz w:val="18"/>
          <w:szCs w:val="18"/>
        </w:rPr>
        <w:t>The management receives information about their financial assets and liabilities and promptly manages the Company’s resources with regard for the asset and liabilities management decisions, ensures solvency and liquidity of the Company by optimising cash flows and payment calendar for efficient use of cash funds. The management regularly monitors the liquidity position.</w:t>
      </w:r>
    </w:p>
    <w:p w14:paraId="16957B86" w14:textId="77777777" w:rsidR="00121103" w:rsidRPr="00EC690A" w:rsidRDefault="00121103" w:rsidP="00765EB1">
      <w:pPr>
        <w:spacing w:before="120"/>
        <w:jc w:val="both"/>
        <w:rPr>
          <w:sz w:val="18"/>
          <w:szCs w:val="18"/>
        </w:rPr>
      </w:pPr>
      <w:r w:rsidRPr="00EC690A">
        <w:rPr>
          <w:sz w:val="18"/>
          <w:szCs w:val="18"/>
        </w:rPr>
        <w:t xml:space="preserve">In those cases when the amount to be paid is not fixed, the amount in the table is determined </w:t>
      </w:r>
      <w:proofErr w:type="gramStart"/>
      <w:r w:rsidRPr="00EC690A">
        <w:rPr>
          <w:sz w:val="18"/>
          <w:szCs w:val="18"/>
        </w:rPr>
        <w:t>on the basis of</w:t>
      </w:r>
      <w:proofErr w:type="gramEnd"/>
      <w:r w:rsidRPr="00EC690A">
        <w:rPr>
          <w:sz w:val="18"/>
          <w:szCs w:val="18"/>
        </w:rPr>
        <w:t xml:space="preserve"> conditions prevailing at the reporting date. Foreign currency payments are translated using the spot exchange rates effective at the reporting date.</w:t>
      </w:r>
    </w:p>
    <w:p w14:paraId="7FB07F52" w14:textId="5355625B" w:rsidR="00121103" w:rsidRPr="00EC690A" w:rsidRDefault="00121103" w:rsidP="00765EB1">
      <w:pPr>
        <w:spacing w:before="120"/>
        <w:jc w:val="both"/>
        <w:rPr>
          <w:sz w:val="18"/>
          <w:szCs w:val="18"/>
        </w:rPr>
      </w:pPr>
      <w:r w:rsidRPr="00EC690A">
        <w:rPr>
          <w:sz w:val="18"/>
          <w:szCs w:val="18"/>
        </w:rPr>
        <w:t>The table below shows the maturity analysis of financial liabilities as at 31 December 201</w:t>
      </w:r>
      <w:r w:rsidR="00765EB1">
        <w:rPr>
          <w:sz w:val="18"/>
          <w:szCs w:val="18"/>
        </w:rPr>
        <w:t>9</w:t>
      </w:r>
      <w:r w:rsidRPr="00EC690A">
        <w:rPr>
          <w:sz w:val="18"/>
          <w:szCs w:val="18"/>
        </w:rPr>
        <w:t xml:space="preserve">: </w:t>
      </w:r>
    </w:p>
    <w:tbl>
      <w:tblPr>
        <w:tblW w:w="5000" w:type="pct"/>
        <w:tblLayout w:type="fixed"/>
        <w:tblLook w:val="04A0" w:firstRow="1" w:lastRow="0" w:firstColumn="1" w:lastColumn="0" w:noHBand="0" w:noVBand="1"/>
      </w:tblPr>
      <w:tblGrid>
        <w:gridCol w:w="2972"/>
        <w:gridCol w:w="1212"/>
        <w:gridCol w:w="1113"/>
        <w:gridCol w:w="1208"/>
        <w:gridCol w:w="1061"/>
        <w:gridCol w:w="1199"/>
      </w:tblGrid>
      <w:tr w:rsidR="002E0C91" w:rsidRPr="002E0C91" w14:paraId="32FF8031" w14:textId="77777777" w:rsidTr="005D0A75">
        <w:trPr>
          <w:trHeight w:val="856"/>
        </w:trPr>
        <w:tc>
          <w:tcPr>
            <w:tcW w:w="1695" w:type="pct"/>
            <w:tcBorders>
              <w:top w:val="nil"/>
              <w:left w:val="nil"/>
              <w:bottom w:val="single" w:sz="4" w:space="0" w:color="auto"/>
              <w:right w:val="nil"/>
            </w:tcBorders>
            <w:shd w:val="clear" w:color="auto" w:fill="auto"/>
            <w:vAlign w:val="bottom"/>
            <w:hideMark/>
          </w:tcPr>
          <w:p w14:paraId="7161A762" w14:textId="77777777" w:rsidR="002E0C91" w:rsidRPr="002E0C91" w:rsidRDefault="002E0C91" w:rsidP="002E0C91">
            <w:pPr>
              <w:ind w:left="-180" w:firstLine="180"/>
              <w:rPr>
                <w:b/>
                <w:bCs/>
                <w:color w:val="000000"/>
                <w:sz w:val="18"/>
                <w:szCs w:val="18"/>
                <w:lang w:eastAsia="en-GB"/>
              </w:rPr>
            </w:pPr>
            <w:r w:rsidRPr="002E0C91">
              <w:rPr>
                <w:b/>
                <w:bCs/>
                <w:color w:val="000000"/>
                <w:sz w:val="18"/>
                <w:szCs w:val="18"/>
                <w:lang w:eastAsia="en-GB"/>
              </w:rPr>
              <w:t> </w:t>
            </w:r>
          </w:p>
        </w:tc>
        <w:tc>
          <w:tcPr>
            <w:tcW w:w="691" w:type="pct"/>
            <w:tcBorders>
              <w:top w:val="nil"/>
              <w:left w:val="nil"/>
              <w:bottom w:val="single" w:sz="4" w:space="0" w:color="auto"/>
              <w:right w:val="nil"/>
            </w:tcBorders>
            <w:shd w:val="clear" w:color="auto" w:fill="auto"/>
            <w:vAlign w:val="bottom"/>
            <w:hideMark/>
          </w:tcPr>
          <w:p w14:paraId="4A5F3E8E" w14:textId="77777777" w:rsidR="002E0C91" w:rsidRPr="002E0C91" w:rsidRDefault="002E0C91" w:rsidP="002E0C91">
            <w:pPr>
              <w:ind w:left="-180" w:firstLine="180"/>
              <w:jc w:val="right"/>
              <w:rPr>
                <w:b/>
                <w:bCs/>
                <w:color w:val="000000"/>
                <w:sz w:val="18"/>
                <w:szCs w:val="18"/>
                <w:lang w:eastAsia="en-GB"/>
              </w:rPr>
            </w:pPr>
            <w:r w:rsidRPr="002E0C91">
              <w:rPr>
                <w:b/>
                <w:bCs/>
                <w:color w:val="000000"/>
                <w:sz w:val="18"/>
                <w:szCs w:val="18"/>
                <w:lang w:eastAsia="en-GB"/>
              </w:rPr>
              <w:t>On demand and less than 1 month</w:t>
            </w:r>
          </w:p>
        </w:tc>
        <w:tc>
          <w:tcPr>
            <w:tcW w:w="635" w:type="pct"/>
            <w:tcBorders>
              <w:top w:val="nil"/>
              <w:left w:val="nil"/>
              <w:bottom w:val="single" w:sz="4" w:space="0" w:color="auto"/>
              <w:right w:val="nil"/>
            </w:tcBorders>
            <w:shd w:val="clear" w:color="auto" w:fill="auto"/>
            <w:vAlign w:val="bottom"/>
            <w:hideMark/>
          </w:tcPr>
          <w:p w14:paraId="42EFB36A" w14:textId="77777777" w:rsidR="002E0C91" w:rsidRPr="002E0C91" w:rsidRDefault="002E0C91" w:rsidP="002E0C91">
            <w:pPr>
              <w:ind w:left="-180" w:firstLine="180"/>
              <w:jc w:val="right"/>
              <w:rPr>
                <w:b/>
                <w:bCs/>
                <w:color w:val="000000"/>
                <w:sz w:val="18"/>
                <w:szCs w:val="18"/>
                <w:lang w:eastAsia="en-GB"/>
              </w:rPr>
            </w:pPr>
            <w:r w:rsidRPr="002E0C91">
              <w:rPr>
                <w:b/>
                <w:bCs/>
                <w:color w:val="000000"/>
                <w:sz w:val="18"/>
                <w:szCs w:val="18"/>
                <w:lang w:eastAsia="en-GB"/>
              </w:rPr>
              <w:t>From 1 to 6 months</w:t>
            </w:r>
          </w:p>
        </w:tc>
        <w:tc>
          <w:tcPr>
            <w:tcW w:w="689" w:type="pct"/>
            <w:tcBorders>
              <w:top w:val="nil"/>
              <w:left w:val="nil"/>
              <w:bottom w:val="single" w:sz="4" w:space="0" w:color="auto"/>
              <w:right w:val="nil"/>
            </w:tcBorders>
            <w:shd w:val="clear" w:color="auto" w:fill="auto"/>
            <w:vAlign w:val="bottom"/>
            <w:hideMark/>
          </w:tcPr>
          <w:p w14:paraId="00C2BD95" w14:textId="77777777" w:rsidR="002E0C91" w:rsidRPr="002E0C91" w:rsidRDefault="002E0C91" w:rsidP="002E0C91">
            <w:pPr>
              <w:ind w:left="-180" w:firstLine="180"/>
              <w:jc w:val="right"/>
              <w:rPr>
                <w:b/>
                <w:bCs/>
                <w:color w:val="000000"/>
                <w:sz w:val="18"/>
                <w:szCs w:val="18"/>
                <w:lang w:eastAsia="en-GB"/>
              </w:rPr>
            </w:pPr>
            <w:r w:rsidRPr="002E0C91">
              <w:rPr>
                <w:b/>
                <w:bCs/>
                <w:color w:val="000000"/>
                <w:sz w:val="18"/>
                <w:szCs w:val="18"/>
                <w:lang w:eastAsia="en-GB"/>
              </w:rPr>
              <w:t>From 6 to 12 months</w:t>
            </w:r>
          </w:p>
        </w:tc>
        <w:tc>
          <w:tcPr>
            <w:tcW w:w="605" w:type="pct"/>
            <w:tcBorders>
              <w:top w:val="nil"/>
              <w:left w:val="nil"/>
              <w:bottom w:val="single" w:sz="4" w:space="0" w:color="auto"/>
              <w:right w:val="nil"/>
            </w:tcBorders>
            <w:shd w:val="clear" w:color="auto" w:fill="auto"/>
            <w:vAlign w:val="bottom"/>
            <w:hideMark/>
          </w:tcPr>
          <w:p w14:paraId="49EFA8F6" w14:textId="77777777" w:rsidR="002E0C91" w:rsidRPr="002E0C91" w:rsidRDefault="002E0C91" w:rsidP="002E0C91">
            <w:pPr>
              <w:ind w:left="-180" w:firstLine="180"/>
              <w:jc w:val="right"/>
              <w:rPr>
                <w:b/>
                <w:bCs/>
                <w:color w:val="000000"/>
                <w:sz w:val="18"/>
                <w:szCs w:val="18"/>
                <w:lang w:eastAsia="en-GB"/>
              </w:rPr>
            </w:pPr>
            <w:r w:rsidRPr="002E0C91">
              <w:rPr>
                <w:b/>
                <w:bCs/>
                <w:color w:val="000000"/>
                <w:sz w:val="18"/>
                <w:szCs w:val="18"/>
                <w:lang w:eastAsia="en-GB"/>
              </w:rPr>
              <w:t>From 1 to 5 years</w:t>
            </w:r>
          </w:p>
        </w:tc>
        <w:tc>
          <w:tcPr>
            <w:tcW w:w="684" w:type="pct"/>
            <w:tcBorders>
              <w:top w:val="nil"/>
              <w:left w:val="nil"/>
              <w:bottom w:val="single" w:sz="4" w:space="0" w:color="auto"/>
              <w:right w:val="nil"/>
            </w:tcBorders>
            <w:shd w:val="clear" w:color="auto" w:fill="auto"/>
            <w:vAlign w:val="bottom"/>
            <w:hideMark/>
          </w:tcPr>
          <w:p w14:paraId="0A31C92D" w14:textId="77777777" w:rsidR="002E0C91" w:rsidRPr="002E0C91" w:rsidRDefault="002E0C91" w:rsidP="002E0C91">
            <w:pPr>
              <w:ind w:left="-180" w:right="-107" w:firstLine="180"/>
              <w:jc w:val="right"/>
              <w:rPr>
                <w:b/>
                <w:bCs/>
                <w:color w:val="000000"/>
                <w:sz w:val="18"/>
                <w:szCs w:val="18"/>
                <w:lang w:eastAsia="en-GB"/>
              </w:rPr>
            </w:pPr>
            <w:r w:rsidRPr="002E0C91">
              <w:rPr>
                <w:b/>
                <w:bCs/>
                <w:color w:val="000000"/>
                <w:sz w:val="18"/>
                <w:szCs w:val="18"/>
                <w:lang w:eastAsia="en-GB"/>
              </w:rPr>
              <w:t>Total</w:t>
            </w:r>
          </w:p>
        </w:tc>
      </w:tr>
      <w:tr w:rsidR="002E0C91" w:rsidRPr="002E0C91" w14:paraId="6B5B622A" w14:textId="77777777" w:rsidTr="005D0A75">
        <w:trPr>
          <w:trHeight w:val="300"/>
        </w:trPr>
        <w:tc>
          <w:tcPr>
            <w:tcW w:w="1695" w:type="pct"/>
            <w:tcBorders>
              <w:top w:val="nil"/>
              <w:left w:val="nil"/>
              <w:bottom w:val="nil"/>
              <w:right w:val="nil"/>
            </w:tcBorders>
            <w:shd w:val="clear" w:color="auto" w:fill="auto"/>
            <w:noWrap/>
            <w:vAlign w:val="bottom"/>
            <w:hideMark/>
          </w:tcPr>
          <w:p w14:paraId="0ECD8483" w14:textId="77777777" w:rsidR="002E0C91" w:rsidRPr="002E0C91" w:rsidRDefault="002E0C91" w:rsidP="002E0C91">
            <w:pPr>
              <w:ind w:left="-180" w:firstLine="180"/>
              <w:rPr>
                <w:color w:val="000000"/>
                <w:sz w:val="18"/>
                <w:szCs w:val="18"/>
                <w:lang w:eastAsia="en-GB"/>
              </w:rPr>
            </w:pPr>
            <w:r w:rsidRPr="002E0C91">
              <w:rPr>
                <w:color w:val="000000"/>
                <w:sz w:val="18"/>
                <w:szCs w:val="18"/>
                <w:lang w:eastAsia="en-GB"/>
              </w:rPr>
              <w:t>Payables</w:t>
            </w:r>
          </w:p>
        </w:tc>
        <w:tc>
          <w:tcPr>
            <w:tcW w:w="691" w:type="pct"/>
            <w:tcBorders>
              <w:top w:val="nil"/>
              <w:left w:val="nil"/>
              <w:bottom w:val="nil"/>
              <w:right w:val="nil"/>
            </w:tcBorders>
            <w:shd w:val="clear" w:color="auto" w:fill="auto"/>
            <w:noWrap/>
            <w:vAlign w:val="bottom"/>
          </w:tcPr>
          <w:p w14:paraId="7D6161B7" w14:textId="183D9330" w:rsidR="002E0C91" w:rsidRPr="002E0C91" w:rsidRDefault="00A64ECA" w:rsidP="002E0C91">
            <w:pPr>
              <w:ind w:left="-180" w:firstLine="180"/>
              <w:jc w:val="right"/>
              <w:rPr>
                <w:color w:val="000000"/>
                <w:sz w:val="18"/>
                <w:szCs w:val="18"/>
                <w:lang w:eastAsia="en-GB"/>
              </w:rPr>
            </w:pPr>
            <w:r>
              <w:rPr>
                <w:color w:val="000000"/>
                <w:sz w:val="18"/>
                <w:szCs w:val="18"/>
                <w:lang w:eastAsia="en-GB"/>
              </w:rPr>
              <w:t>477,784</w:t>
            </w:r>
          </w:p>
        </w:tc>
        <w:tc>
          <w:tcPr>
            <w:tcW w:w="635" w:type="pct"/>
            <w:tcBorders>
              <w:top w:val="nil"/>
              <w:left w:val="nil"/>
              <w:bottom w:val="nil"/>
              <w:right w:val="nil"/>
            </w:tcBorders>
            <w:shd w:val="clear" w:color="auto" w:fill="auto"/>
            <w:noWrap/>
            <w:vAlign w:val="bottom"/>
          </w:tcPr>
          <w:p w14:paraId="1BEE984D" w14:textId="0D4450B6" w:rsidR="002E0C91" w:rsidRPr="002E0C91" w:rsidRDefault="00A64ECA" w:rsidP="002E0C91">
            <w:pPr>
              <w:ind w:left="-180" w:firstLine="180"/>
              <w:jc w:val="right"/>
              <w:rPr>
                <w:color w:val="000000"/>
                <w:sz w:val="18"/>
                <w:szCs w:val="18"/>
                <w:lang w:eastAsia="en-GB"/>
              </w:rPr>
            </w:pPr>
            <w:r>
              <w:rPr>
                <w:color w:val="000000"/>
                <w:sz w:val="18"/>
                <w:szCs w:val="18"/>
                <w:lang w:eastAsia="en-GB"/>
              </w:rPr>
              <w:t>-</w:t>
            </w:r>
          </w:p>
        </w:tc>
        <w:tc>
          <w:tcPr>
            <w:tcW w:w="689" w:type="pct"/>
            <w:tcBorders>
              <w:top w:val="nil"/>
              <w:left w:val="nil"/>
              <w:bottom w:val="nil"/>
              <w:right w:val="nil"/>
            </w:tcBorders>
            <w:shd w:val="clear" w:color="auto" w:fill="auto"/>
            <w:noWrap/>
            <w:vAlign w:val="bottom"/>
          </w:tcPr>
          <w:p w14:paraId="2B558E54" w14:textId="10D91968" w:rsidR="002E0C91" w:rsidRPr="002E0C91" w:rsidRDefault="00A64ECA" w:rsidP="002E0C91">
            <w:pPr>
              <w:ind w:left="-180" w:firstLine="180"/>
              <w:jc w:val="right"/>
              <w:rPr>
                <w:color w:val="000000"/>
                <w:sz w:val="18"/>
                <w:szCs w:val="18"/>
                <w:lang w:eastAsia="en-GB"/>
              </w:rPr>
            </w:pPr>
            <w:r>
              <w:rPr>
                <w:color w:val="000000"/>
                <w:sz w:val="18"/>
                <w:szCs w:val="18"/>
                <w:lang w:eastAsia="en-GB"/>
              </w:rPr>
              <w:t>-</w:t>
            </w:r>
          </w:p>
        </w:tc>
        <w:tc>
          <w:tcPr>
            <w:tcW w:w="605" w:type="pct"/>
            <w:tcBorders>
              <w:top w:val="nil"/>
              <w:left w:val="nil"/>
              <w:bottom w:val="nil"/>
              <w:right w:val="nil"/>
            </w:tcBorders>
            <w:shd w:val="clear" w:color="auto" w:fill="auto"/>
            <w:noWrap/>
            <w:vAlign w:val="bottom"/>
          </w:tcPr>
          <w:p w14:paraId="0C41E384" w14:textId="73B0629A" w:rsidR="002E0C91" w:rsidRPr="002E0C91" w:rsidRDefault="00A64ECA" w:rsidP="002E0C91">
            <w:pPr>
              <w:ind w:left="-180" w:firstLine="180"/>
              <w:jc w:val="right"/>
              <w:rPr>
                <w:color w:val="000000"/>
                <w:sz w:val="18"/>
                <w:szCs w:val="18"/>
                <w:lang w:eastAsia="en-GB"/>
              </w:rPr>
            </w:pPr>
            <w:r>
              <w:rPr>
                <w:color w:val="000000"/>
                <w:sz w:val="18"/>
                <w:szCs w:val="18"/>
                <w:lang w:eastAsia="en-GB"/>
              </w:rPr>
              <w:t>-</w:t>
            </w:r>
          </w:p>
        </w:tc>
        <w:tc>
          <w:tcPr>
            <w:tcW w:w="684" w:type="pct"/>
            <w:tcBorders>
              <w:top w:val="nil"/>
              <w:left w:val="nil"/>
              <w:bottom w:val="nil"/>
              <w:right w:val="nil"/>
            </w:tcBorders>
            <w:shd w:val="clear" w:color="auto" w:fill="auto"/>
            <w:noWrap/>
            <w:vAlign w:val="bottom"/>
          </w:tcPr>
          <w:p w14:paraId="56C1FEDE" w14:textId="54EFAA9D" w:rsidR="002E0C91" w:rsidRPr="002E0C91" w:rsidRDefault="00A64ECA" w:rsidP="002E0C91">
            <w:pPr>
              <w:ind w:left="-180" w:right="-107" w:firstLine="180"/>
              <w:jc w:val="right"/>
              <w:rPr>
                <w:color w:val="000000"/>
                <w:sz w:val="18"/>
                <w:szCs w:val="18"/>
                <w:lang w:val="en-US" w:eastAsia="en-GB"/>
              </w:rPr>
            </w:pPr>
            <w:r>
              <w:rPr>
                <w:color w:val="000000"/>
                <w:sz w:val="18"/>
                <w:szCs w:val="18"/>
                <w:lang w:val="en-US" w:eastAsia="en-GB"/>
              </w:rPr>
              <w:t>477,784</w:t>
            </w:r>
          </w:p>
        </w:tc>
      </w:tr>
      <w:tr w:rsidR="002E0C91" w:rsidRPr="002E0C91" w14:paraId="27622148" w14:textId="77777777" w:rsidTr="005D0A75">
        <w:trPr>
          <w:trHeight w:val="300"/>
        </w:trPr>
        <w:tc>
          <w:tcPr>
            <w:tcW w:w="1695" w:type="pct"/>
            <w:tcBorders>
              <w:top w:val="nil"/>
              <w:left w:val="nil"/>
              <w:bottom w:val="nil"/>
              <w:right w:val="nil"/>
            </w:tcBorders>
            <w:shd w:val="clear" w:color="auto" w:fill="auto"/>
            <w:noWrap/>
            <w:vAlign w:val="bottom"/>
          </w:tcPr>
          <w:p w14:paraId="67B5A140" w14:textId="6EF8DC48" w:rsidR="002E0C91" w:rsidRPr="002E0C91" w:rsidRDefault="005D0A75" w:rsidP="002E0C91">
            <w:pPr>
              <w:ind w:left="-180" w:firstLine="180"/>
              <w:rPr>
                <w:color w:val="000000"/>
                <w:sz w:val="18"/>
                <w:szCs w:val="18"/>
                <w:lang w:eastAsia="en-GB"/>
              </w:rPr>
            </w:pPr>
            <w:r>
              <w:rPr>
                <w:color w:val="000000"/>
                <w:sz w:val="18"/>
                <w:szCs w:val="18"/>
                <w:lang w:eastAsia="en-GB"/>
              </w:rPr>
              <w:t>Lease liabilities</w:t>
            </w:r>
          </w:p>
        </w:tc>
        <w:tc>
          <w:tcPr>
            <w:tcW w:w="691" w:type="pct"/>
            <w:tcBorders>
              <w:top w:val="nil"/>
              <w:left w:val="nil"/>
              <w:bottom w:val="nil"/>
              <w:right w:val="nil"/>
            </w:tcBorders>
            <w:shd w:val="clear" w:color="auto" w:fill="auto"/>
            <w:noWrap/>
            <w:vAlign w:val="bottom"/>
          </w:tcPr>
          <w:p w14:paraId="3DF8120E" w14:textId="0546E64C" w:rsidR="002E0C91" w:rsidRDefault="00A64ECA" w:rsidP="002E0C91">
            <w:pPr>
              <w:ind w:left="-180" w:firstLine="180"/>
              <w:jc w:val="right"/>
              <w:rPr>
                <w:color w:val="000000"/>
                <w:sz w:val="18"/>
                <w:szCs w:val="18"/>
                <w:lang w:eastAsia="en-GB"/>
              </w:rPr>
            </w:pPr>
            <w:r>
              <w:rPr>
                <w:color w:val="000000"/>
                <w:sz w:val="18"/>
                <w:szCs w:val="18"/>
                <w:lang w:eastAsia="en-GB"/>
              </w:rPr>
              <w:t>7,170</w:t>
            </w:r>
          </w:p>
        </w:tc>
        <w:tc>
          <w:tcPr>
            <w:tcW w:w="635" w:type="pct"/>
            <w:tcBorders>
              <w:top w:val="nil"/>
              <w:left w:val="nil"/>
              <w:bottom w:val="nil"/>
              <w:right w:val="nil"/>
            </w:tcBorders>
            <w:shd w:val="clear" w:color="auto" w:fill="auto"/>
            <w:noWrap/>
            <w:vAlign w:val="bottom"/>
          </w:tcPr>
          <w:p w14:paraId="70D97BF3" w14:textId="677FA271" w:rsidR="002E0C91" w:rsidRDefault="00A64ECA" w:rsidP="002E0C91">
            <w:pPr>
              <w:ind w:left="-180" w:firstLine="180"/>
              <w:jc w:val="right"/>
              <w:rPr>
                <w:color w:val="000000"/>
                <w:sz w:val="18"/>
                <w:szCs w:val="18"/>
                <w:lang w:eastAsia="en-GB"/>
              </w:rPr>
            </w:pPr>
            <w:r>
              <w:rPr>
                <w:color w:val="000000"/>
                <w:sz w:val="18"/>
                <w:szCs w:val="18"/>
                <w:lang w:eastAsia="en-GB"/>
              </w:rPr>
              <w:t>29,895</w:t>
            </w:r>
          </w:p>
        </w:tc>
        <w:tc>
          <w:tcPr>
            <w:tcW w:w="689" w:type="pct"/>
            <w:tcBorders>
              <w:top w:val="nil"/>
              <w:left w:val="nil"/>
              <w:bottom w:val="nil"/>
              <w:right w:val="nil"/>
            </w:tcBorders>
            <w:shd w:val="clear" w:color="auto" w:fill="auto"/>
            <w:noWrap/>
            <w:vAlign w:val="bottom"/>
          </w:tcPr>
          <w:p w14:paraId="62750373" w14:textId="12E21E09" w:rsidR="002E0C91" w:rsidRDefault="00A64ECA" w:rsidP="002E0C91">
            <w:pPr>
              <w:ind w:left="-180" w:firstLine="180"/>
              <w:jc w:val="right"/>
              <w:rPr>
                <w:color w:val="000000"/>
                <w:sz w:val="18"/>
                <w:szCs w:val="18"/>
                <w:lang w:eastAsia="en-GB"/>
              </w:rPr>
            </w:pPr>
            <w:r>
              <w:rPr>
                <w:color w:val="000000"/>
                <w:sz w:val="18"/>
                <w:szCs w:val="18"/>
                <w:lang w:eastAsia="en-GB"/>
              </w:rPr>
              <w:t>57,325</w:t>
            </w:r>
          </w:p>
        </w:tc>
        <w:tc>
          <w:tcPr>
            <w:tcW w:w="605" w:type="pct"/>
            <w:tcBorders>
              <w:top w:val="nil"/>
              <w:left w:val="nil"/>
              <w:bottom w:val="nil"/>
              <w:right w:val="nil"/>
            </w:tcBorders>
            <w:shd w:val="clear" w:color="auto" w:fill="auto"/>
            <w:noWrap/>
            <w:vAlign w:val="bottom"/>
          </w:tcPr>
          <w:p w14:paraId="3E123B74" w14:textId="2A406334" w:rsidR="002E0C91" w:rsidRDefault="00A64ECA" w:rsidP="002E0C91">
            <w:pPr>
              <w:ind w:left="-180" w:firstLine="180"/>
              <w:jc w:val="right"/>
              <w:rPr>
                <w:color w:val="000000"/>
                <w:sz w:val="18"/>
                <w:szCs w:val="18"/>
                <w:lang w:eastAsia="en-GB"/>
              </w:rPr>
            </w:pPr>
            <w:r>
              <w:rPr>
                <w:color w:val="000000"/>
                <w:sz w:val="18"/>
                <w:szCs w:val="18"/>
                <w:lang w:eastAsia="en-GB"/>
              </w:rPr>
              <w:t>45,211</w:t>
            </w:r>
          </w:p>
        </w:tc>
        <w:tc>
          <w:tcPr>
            <w:tcW w:w="684" w:type="pct"/>
            <w:tcBorders>
              <w:top w:val="nil"/>
              <w:left w:val="nil"/>
              <w:bottom w:val="nil"/>
              <w:right w:val="nil"/>
            </w:tcBorders>
            <w:shd w:val="clear" w:color="auto" w:fill="auto"/>
            <w:noWrap/>
            <w:vAlign w:val="bottom"/>
          </w:tcPr>
          <w:p w14:paraId="5C7FA176" w14:textId="72AF21DA" w:rsidR="002E0C91" w:rsidRDefault="00A64ECA" w:rsidP="002E0C91">
            <w:pPr>
              <w:ind w:left="-180" w:right="-107" w:firstLine="180"/>
              <w:jc w:val="right"/>
              <w:rPr>
                <w:color w:val="000000"/>
                <w:sz w:val="18"/>
                <w:szCs w:val="18"/>
                <w:lang w:eastAsia="en-GB"/>
              </w:rPr>
            </w:pPr>
            <w:r>
              <w:rPr>
                <w:color w:val="000000"/>
                <w:sz w:val="18"/>
                <w:szCs w:val="18"/>
                <w:lang w:eastAsia="en-GB"/>
              </w:rPr>
              <w:t>139,601</w:t>
            </w:r>
          </w:p>
        </w:tc>
      </w:tr>
      <w:tr w:rsidR="002E0C91" w:rsidRPr="002E0C91" w14:paraId="39932E50" w14:textId="77777777" w:rsidTr="005D0A75">
        <w:trPr>
          <w:trHeight w:val="300"/>
        </w:trPr>
        <w:tc>
          <w:tcPr>
            <w:tcW w:w="1695" w:type="pct"/>
            <w:tcBorders>
              <w:top w:val="nil"/>
              <w:left w:val="nil"/>
              <w:bottom w:val="nil"/>
              <w:right w:val="nil"/>
            </w:tcBorders>
            <w:shd w:val="clear" w:color="auto" w:fill="auto"/>
            <w:noWrap/>
            <w:vAlign w:val="bottom"/>
            <w:hideMark/>
          </w:tcPr>
          <w:p w14:paraId="29985B76" w14:textId="77777777" w:rsidR="002E0C91" w:rsidRPr="002E0C91" w:rsidRDefault="002E0C91" w:rsidP="002E0C91">
            <w:pPr>
              <w:ind w:left="-180" w:firstLine="180"/>
              <w:rPr>
                <w:color w:val="000000"/>
                <w:sz w:val="18"/>
                <w:szCs w:val="18"/>
                <w:lang w:eastAsia="en-GB"/>
              </w:rPr>
            </w:pPr>
            <w:r w:rsidRPr="002E0C91">
              <w:rPr>
                <w:color w:val="000000"/>
                <w:sz w:val="18"/>
                <w:szCs w:val="18"/>
                <w:lang w:eastAsia="en-GB"/>
              </w:rPr>
              <w:t>Other liabilities</w:t>
            </w:r>
          </w:p>
        </w:tc>
        <w:tc>
          <w:tcPr>
            <w:tcW w:w="691" w:type="pct"/>
            <w:tcBorders>
              <w:top w:val="nil"/>
              <w:left w:val="nil"/>
              <w:bottom w:val="nil"/>
              <w:right w:val="nil"/>
            </w:tcBorders>
            <w:shd w:val="clear" w:color="auto" w:fill="auto"/>
            <w:noWrap/>
            <w:vAlign w:val="bottom"/>
          </w:tcPr>
          <w:p w14:paraId="54F987E5" w14:textId="314256E0" w:rsidR="002E0C91" w:rsidRPr="002E0C91" w:rsidRDefault="00A64ECA" w:rsidP="002E0C91">
            <w:pPr>
              <w:ind w:left="-180" w:firstLine="180"/>
              <w:jc w:val="right"/>
              <w:rPr>
                <w:color w:val="000000"/>
                <w:sz w:val="18"/>
                <w:szCs w:val="18"/>
                <w:lang w:eastAsia="en-GB"/>
              </w:rPr>
            </w:pPr>
            <w:r>
              <w:rPr>
                <w:color w:val="000000"/>
                <w:sz w:val="18"/>
                <w:szCs w:val="18"/>
                <w:lang w:eastAsia="en-GB"/>
              </w:rPr>
              <w:t>63,289</w:t>
            </w:r>
          </w:p>
        </w:tc>
        <w:tc>
          <w:tcPr>
            <w:tcW w:w="635" w:type="pct"/>
            <w:tcBorders>
              <w:top w:val="nil"/>
              <w:left w:val="nil"/>
              <w:bottom w:val="nil"/>
              <w:right w:val="nil"/>
            </w:tcBorders>
            <w:shd w:val="clear" w:color="auto" w:fill="auto"/>
            <w:noWrap/>
            <w:vAlign w:val="bottom"/>
          </w:tcPr>
          <w:p w14:paraId="03DF47B8" w14:textId="590B994A" w:rsidR="002E0C91" w:rsidRPr="002E0C91" w:rsidRDefault="00A64ECA" w:rsidP="002E0C91">
            <w:pPr>
              <w:ind w:left="-180" w:firstLine="180"/>
              <w:jc w:val="right"/>
              <w:rPr>
                <w:color w:val="000000"/>
                <w:sz w:val="18"/>
                <w:szCs w:val="18"/>
                <w:lang w:eastAsia="en-GB"/>
              </w:rPr>
            </w:pPr>
            <w:r>
              <w:rPr>
                <w:color w:val="000000"/>
                <w:sz w:val="18"/>
                <w:szCs w:val="18"/>
                <w:lang w:eastAsia="en-GB"/>
              </w:rPr>
              <w:t>-</w:t>
            </w:r>
          </w:p>
        </w:tc>
        <w:tc>
          <w:tcPr>
            <w:tcW w:w="689" w:type="pct"/>
            <w:tcBorders>
              <w:top w:val="nil"/>
              <w:left w:val="nil"/>
              <w:bottom w:val="nil"/>
              <w:right w:val="nil"/>
            </w:tcBorders>
            <w:shd w:val="clear" w:color="auto" w:fill="auto"/>
            <w:noWrap/>
            <w:vAlign w:val="bottom"/>
          </w:tcPr>
          <w:p w14:paraId="27CF040F" w14:textId="2D04A023" w:rsidR="002E0C91" w:rsidRPr="002E0C91" w:rsidRDefault="00A64ECA" w:rsidP="002E0C91">
            <w:pPr>
              <w:ind w:left="-180" w:firstLine="180"/>
              <w:jc w:val="right"/>
              <w:rPr>
                <w:color w:val="000000"/>
                <w:sz w:val="18"/>
                <w:szCs w:val="18"/>
                <w:lang w:eastAsia="en-GB"/>
              </w:rPr>
            </w:pPr>
            <w:r>
              <w:rPr>
                <w:color w:val="000000"/>
                <w:sz w:val="18"/>
                <w:szCs w:val="18"/>
                <w:lang w:eastAsia="en-GB"/>
              </w:rPr>
              <w:t>-</w:t>
            </w:r>
          </w:p>
        </w:tc>
        <w:tc>
          <w:tcPr>
            <w:tcW w:w="605" w:type="pct"/>
            <w:tcBorders>
              <w:top w:val="nil"/>
              <w:left w:val="nil"/>
              <w:bottom w:val="nil"/>
              <w:right w:val="nil"/>
            </w:tcBorders>
            <w:shd w:val="clear" w:color="auto" w:fill="auto"/>
            <w:noWrap/>
            <w:vAlign w:val="bottom"/>
          </w:tcPr>
          <w:p w14:paraId="4BDB7F5A" w14:textId="25801E42" w:rsidR="002E0C91" w:rsidRPr="002E0C91" w:rsidRDefault="00A64ECA" w:rsidP="002E0C91">
            <w:pPr>
              <w:ind w:left="-180" w:firstLine="180"/>
              <w:jc w:val="right"/>
              <w:rPr>
                <w:color w:val="000000"/>
                <w:sz w:val="18"/>
                <w:szCs w:val="18"/>
                <w:lang w:eastAsia="en-GB"/>
              </w:rPr>
            </w:pPr>
            <w:r>
              <w:rPr>
                <w:color w:val="000000"/>
                <w:sz w:val="18"/>
                <w:szCs w:val="18"/>
                <w:lang w:eastAsia="en-GB"/>
              </w:rPr>
              <w:t>-</w:t>
            </w:r>
          </w:p>
        </w:tc>
        <w:tc>
          <w:tcPr>
            <w:tcW w:w="684" w:type="pct"/>
            <w:tcBorders>
              <w:top w:val="nil"/>
              <w:left w:val="nil"/>
              <w:bottom w:val="nil"/>
              <w:right w:val="nil"/>
            </w:tcBorders>
            <w:shd w:val="clear" w:color="auto" w:fill="auto"/>
            <w:noWrap/>
            <w:vAlign w:val="bottom"/>
          </w:tcPr>
          <w:p w14:paraId="3EB1799C" w14:textId="276AD26F" w:rsidR="002E0C91" w:rsidRPr="002E0C91" w:rsidRDefault="00A64ECA" w:rsidP="002E0C91">
            <w:pPr>
              <w:ind w:left="-180" w:right="-107" w:firstLine="180"/>
              <w:jc w:val="right"/>
              <w:rPr>
                <w:color w:val="000000"/>
                <w:sz w:val="18"/>
                <w:szCs w:val="18"/>
                <w:lang w:eastAsia="en-GB"/>
              </w:rPr>
            </w:pPr>
            <w:r>
              <w:rPr>
                <w:color w:val="000000"/>
                <w:sz w:val="18"/>
                <w:szCs w:val="18"/>
                <w:lang w:eastAsia="en-GB"/>
              </w:rPr>
              <w:t>63,289</w:t>
            </w:r>
          </w:p>
        </w:tc>
      </w:tr>
      <w:tr w:rsidR="002E0C91" w:rsidRPr="002E0C91" w14:paraId="0A31B163" w14:textId="77777777" w:rsidTr="005D0A75">
        <w:trPr>
          <w:trHeight w:val="315"/>
        </w:trPr>
        <w:tc>
          <w:tcPr>
            <w:tcW w:w="1695" w:type="pct"/>
            <w:tcBorders>
              <w:top w:val="single" w:sz="4" w:space="0" w:color="auto"/>
              <w:left w:val="nil"/>
              <w:bottom w:val="double" w:sz="6" w:space="0" w:color="auto"/>
              <w:right w:val="nil"/>
            </w:tcBorders>
            <w:shd w:val="clear" w:color="auto" w:fill="auto"/>
            <w:noWrap/>
            <w:vAlign w:val="bottom"/>
            <w:hideMark/>
          </w:tcPr>
          <w:p w14:paraId="5E648854" w14:textId="77777777" w:rsidR="002E0C91" w:rsidRPr="002E0C91" w:rsidRDefault="002E0C91" w:rsidP="002E0C91">
            <w:pPr>
              <w:ind w:left="-180" w:firstLine="180"/>
              <w:rPr>
                <w:b/>
                <w:bCs/>
                <w:color w:val="000000"/>
                <w:sz w:val="18"/>
                <w:szCs w:val="18"/>
                <w:lang w:eastAsia="en-GB"/>
              </w:rPr>
            </w:pPr>
            <w:r w:rsidRPr="002E0C91">
              <w:rPr>
                <w:b/>
                <w:bCs/>
                <w:color w:val="000000"/>
                <w:sz w:val="18"/>
                <w:szCs w:val="18"/>
                <w:lang w:eastAsia="en-GB"/>
              </w:rPr>
              <w:t>Total liabilities</w:t>
            </w:r>
          </w:p>
        </w:tc>
        <w:tc>
          <w:tcPr>
            <w:tcW w:w="691" w:type="pct"/>
            <w:tcBorders>
              <w:top w:val="single" w:sz="4" w:space="0" w:color="auto"/>
              <w:left w:val="nil"/>
              <w:bottom w:val="double" w:sz="6" w:space="0" w:color="auto"/>
              <w:right w:val="nil"/>
            </w:tcBorders>
            <w:shd w:val="clear" w:color="auto" w:fill="auto"/>
            <w:noWrap/>
            <w:vAlign w:val="bottom"/>
          </w:tcPr>
          <w:p w14:paraId="51CEF37A" w14:textId="54D0EB2D" w:rsidR="002E0C91" w:rsidRPr="002E0C91" w:rsidRDefault="00A64ECA" w:rsidP="002E0C91">
            <w:pPr>
              <w:ind w:left="-180" w:firstLine="180"/>
              <w:jc w:val="right"/>
              <w:rPr>
                <w:b/>
                <w:bCs/>
                <w:color w:val="000000"/>
                <w:sz w:val="18"/>
                <w:szCs w:val="18"/>
                <w:lang w:eastAsia="en-GB"/>
              </w:rPr>
            </w:pPr>
            <w:r>
              <w:rPr>
                <w:b/>
                <w:bCs/>
                <w:color w:val="000000"/>
                <w:sz w:val="18"/>
                <w:szCs w:val="18"/>
                <w:lang w:eastAsia="en-GB"/>
              </w:rPr>
              <w:t>548,243</w:t>
            </w:r>
          </w:p>
        </w:tc>
        <w:tc>
          <w:tcPr>
            <w:tcW w:w="635" w:type="pct"/>
            <w:tcBorders>
              <w:top w:val="single" w:sz="4" w:space="0" w:color="auto"/>
              <w:left w:val="nil"/>
              <w:bottom w:val="double" w:sz="6" w:space="0" w:color="auto"/>
              <w:right w:val="nil"/>
            </w:tcBorders>
            <w:shd w:val="clear" w:color="auto" w:fill="auto"/>
            <w:noWrap/>
            <w:vAlign w:val="bottom"/>
          </w:tcPr>
          <w:p w14:paraId="0B5F7DEB" w14:textId="0939CECC" w:rsidR="002E0C91" w:rsidRPr="002E0C91" w:rsidRDefault="00A64ECA" w:rsidP="002E0C91">
            <w:pPr>
              <w:ind w:left="-180" w:firstLine="180"/>
              <w:jc w:val="right"/>
              <w:rPr>
                <w:b/>
                <w:bCs/>
                <w:color w:val="000000"/>
                <w:sz w:val="18"/>
                <w:szCs w:val="18"/>
                <w:lang w:eastAsia="en-GB"/>
              </w:rPr>
            </w:pPr>
            <w:r>
              <w:rPr>
                <w:b/>
                <w:bCs/>
                <w:color w:val="000000"/>
                <w:sz w:val="18"/>
                <w:szCs w:val="18"/>
                <w:lang w:eastAsia="en-GB"/>
              </w:rPr>
              <w:t>29,895</w:t>
            </w:r>
          </w:p>
        </w:tc>
        <w:tc>
          <w:tcPr>
            <w:tcW w:w="689" w:type="pct"/>
            <w:tcBorders>
              <w:top w:val="single" w:sz="4" w:space="0" w:color="auto"/>
              <w:left w:val="nil"/>
              <w:bottom w:val="double" w:sz="6" w:space="0" w:color="auto"/>
              <w:right w:val="nil"/>
            </w:tcBorders>
            <w:shd w:val="clear" w:color="auto" w:fill="auto"/>
            <w:noWrap/>
            <w:vAlign w:val="bottom"/>
          </w:tcPr>
          <w:p w14:paraId="696E57BE" w14:textId="469ACE06" w:rsidR="002E0C91" w:rsidRPr="002E0C91" w:rsidRDefault="00A64ECA" w:rsidP="002E0C91">
            <w:pPr>
              <w:ind w:left="-180" w:firstLine="180"/>
              <w:jc w:val="right"/>
              <w:rPr>
                <w:b/>
                <w:bCs/>
                <w:color w:val="000000"/>
                <w:sz w:val="18"/>
                <w:szCs w:val="18"/>
                <w:lang w:eastAsia="en-GB"/>
              </w:rPr>
            </w:pPr>
            <w:r>
              <w:rPr>
                <w:b/>
                <w:bCs/>
                <w:color w:val="000000"/>
                <w:sz w:val="18"/>
                <w:szCs w:val="18"/>
                <w:lang w:eastAsia="en-GB"/>
              </w:rPr>
              <w:t>57,325</w:t>
            </w:r>
          </w:p>
        </w:tc>
        <w:tc>
          <w:tcPr>
            <w:tcW w:w="605" w:type="pct"/>
            <w:tcBorders>
              <w:top w:val="single" w:sz="4" w:space="0" w:color="auto"/>
              <w:left w:val="nil"/>
              <w:bottom w:val="double" w:sz="6" w:space="0" w:color="auto"/>
              <w:right w:val="nil"/>
            </w:tcBorders>
            <w:shd w:val="clear" w:color="auto" w:fill="auto"/>
            <w:noWrap/>
            <w:vAlign w:val="bottom"/>
          </w:tcPr>
          <w:p w14:paraId="4928F6C7" w14:textId="0721F87F" w:rsidR="002E0C91" w:rsidRPr="002E0C91" w:rsidRDefault="00A64ECA" w:rsidP="002E0C91">
            <w:pPr>
              <w:ind w:left="-180" w:firstLine="180"/>
              <w:jc w:val="right"/>
              <w:rPr>
                <w:b/>
                <w:bCs/>
                <w:color w:val="000000"/>
                <w:sz w:val="18"/>
                <w:szCs w:val="18"/>
                <w:lang w:eastAsia="en-GB"/>
              </w:rPr>
            </w:pPr>
            <w:r>
              <w:rPr>
                <w:b/>
                <w:bCs/>
                <w:color w:val="000000"/>
                <w:sz w:val="18"/>
                <w:szCs w:val="18"/>
                <w:lang w:eastAsia="en-GB"/>
              </w:rPr>
              <w:t>45,211</w:t>
            </w:r>
          </w:p>
        </w:tc>
        <w:tc>
          <w:tcPr>
            <w:tcW w:w="684" w:type="pct"/>
            <w:tcBorders>
              <w:top w:val="single" w:sz="4" w:space="0" w:color="auto"/>
              <w:left w:val="nil"/>
              <w:bottom w:val="double" w:sz="6" w:space="0" w:color="auto"/>
              <w:right w:val="nil"/>
            </w:tcBorders>
            <w:shd w:val="clear" w:color="auto" w:fill="auto"/>
            <w:noWrap/>
            <w:vAlign w:val="bottom"/>
          </w:tcPr>
          <w:p w14:paraId="43901991" w14:textId="2BB52312" w:rsidR="002E0C91" w:rsidRPr="002E0C91" w:rsidRDefault="00A64ECA" w:rsidP="002E0C91">
            <w:pPr>
              <w:ind w:left="-180" w:right="-107" w:firstLine="180"/>
              <w:jc w:val="right"/>
              <w:rPr>
                <w:b/>
                <w:bCs/>
                <w:color w:val="000000"/>
                <w:sz w:val="18"/>
                <w:szCs w:val="18"/>
                <w:lang w:eastAsia="en-GB"/>
              </w:rPr>
            </w:pPr>
            <w:r>
              <w:rPr>
                <w:b/>
                <w:bCs/>
                <w:color w:val="000000"/>
                <w:sz w:val="18"/>
                <w:szCs w:val="18"/>
                <w:lang w:eastAsia="en-GB"/>
              </w:rPr>
              <w:t>680,674</w:t>
            </w:r>
          </w:p>
        </w:tc>
      </w:tr>
    </w:tbl>
    <w:p w14:paraId="64B03367" w14:textId="77777777" w:rsidR="00A64ECA" w:rsidRDefault="00A64ECA" w:rsidP="002E0C91">
      <w:pPr>
        <w:spacing w:before="120"/>
        <w:jc w:val="both"/>
        <w:rPr>
          <w:sz w:val="18"/>
          <w:szCs w:val="18"/>
        </w:rPr>
      </w:pPr>
    </w:p>
    <w:p w14:paraId="5CDB2FFA" w14:textId="77777777" w:rsidR="00A64ECA" w:rsidRDefault="00A64ECA" w:rsidP="002E0C91">
      <w:pPr>
        <w:spacing w:before="120"/>
        <w:jc w:val="both"/>
        <w:rPr>
          <w:sz w:val="18"/>
          <w:szCs w:val="18"/>
        </w:rPr>
      </w:pPr>
    </w:p>
    <w:p w14:paraId="4170E10A" w14:textId="77777777" w:rsidR="00A64ECA" w:rsidRDefault="00A64ECA" w:rsidP="002E0C91">
      <w:pPr>
        <w:spacing w:before="120"/>
        <w:jc w:val="both"/>
        <w:rPr>
          <w:sz w:val="18"/>
          <w:szCs w:val="18"/>
        </w:rPr>
      </w:pPr>
    </w:p>
    <w:p w14:paraId="249FB048" w14:textId="77777777" w:rsidR="00A64ECA" w:rsidRDefault="00A64ECA" w:rsidP="002E0C91">
      <w:pPr>
        <w:spacing w:before="120"/>
        <w:jc w:val="both"/>
        <w:rPr>
          <w:sz w:val="18"/>
          <w:szCs w:val="18"/>
        </w:rPr>
      </w:pPr>
    </w:p>
    <w:p w14:paraId="45B39AA8" w14:textId="227604B7" w:rsidR="002E0C91" w:rsidRPr="00EC690A" w:rsidRDefault="002E0C91" w:rsidP="002E0C91">
      <w:pPr>
        <w:spacing w:before="120"/>
        <w:jc w:val="both"/>
        <w:rPr>
          <w:sz w:val="18"/>
          <w:szCs w:val="18"/>
        </w:rPr>
      </w:pPr>
      <w:r w:rsidRPr="00EC690A">
        <w:rPr>
          <w:sz w:val="18"/>
          <w:szCs w:val="18"/>
        </w:rPr>
        <w:lastRenderedPageBreak/>
        <w:t>The table below shows the maturity analysis of financial liabilities as at 31 December 201</w:t>
      </w:r>
      <w:r>
        <w:rPr>
          <w:sz w:val="18"/>
          <w:szCs w:val="18"/>
        </w:rPr>
        <w:t>8</w:t>
      </w:r>
      <w:r w:rsidRPr="00EC690A">
        <w:rPr>
          <w:sz w:val="18"/>
          <w:szCs w:val="18"/>
        </w:rPr>
        <w:t xml:space="preserve">: </w:t>
      </w:r>
    </w:p>
    <w:tbl>
      <w:tblPr>
        <w:tblW w:w="5000" w:type="pct"/>
        <w:tblLayout w:type="fixed"/>
        <w:tblLook w:val="04A0" w:firstRow="1" w:lastRow="0" w:firstColumn="1" w:lastColumn="0" w:noHBand="0" w:noVBand="1"/>
      </w:tblPr>
      <w:tblGrid>
        <w:gridCol w:w="2972"/>
        <w:gridCol w:w="1212"/>
        <w:gridCol w:w="1113"/>
        <w:gridCol w:w="1208"/>
        <w:gridCol w:w="1061"/>
        <w:gridCol w:w="1199"/>
      </w:tblGrid>
      <w:tr w:rsidR="0008373D" w:rsidRPr="002E0C91" w14:paraId="4DA89A03" w14:textId="77777777" w:rsidTr="00926896">
        <w:trPr>
          <w:trHeight w:val="856"/>
        </w:trPr>
        <w:tc>
          <w:tcPr>
            <w:tcW w:w="1695" w:type="pct"/>
            <w:tcBorders>
              <w:top w:val="nil"/>
              <w:left w:val="nil"/>
              <w:bottom w:val="single" w:sz="4" w:space="0" w:color="auto"/>
              <w:right w:val="nil"/>
            </w:tcBorders>
            <w:shd w:val="clear" w:color="auto" w:fill="auto"/>
            <w:vAlign w:val="bottom"/>
            <w:hideMark/>
          </w:tcPr>
          <w:p w14:paraId="0A9AFD67" w14:textId="77777777" w:rsidR="0008373D" w:rsidRPr="002E0C91" w:rsidRDefault="0008373D" w:rsidP="00926896">
            <w:pPr>
              <w:ind w:left="-180" w:firstLine="180"/>
              <w:rPr>
                <w:b/>
                <w:bCs/>
                <w:color w:val="000000"/>
                <w:sz w:val="18"/>
                <w:szCs w:val="18"/>
                <w:lang w:eastAsia="en-GB"/>
              </w:rPr>
            </w:pPr>
            <w:r w:rsidRPr="002E0C91">
              <w:rPr>
                <w:b/>
                <w:bCs/>
                <w:color w:val="000000"/>
                <w:sz w:val="18"/>
                <w:szCs w:val="18"/>
                <w:lang w:eastAsia="en-GB"/>
              </w:rPr>
              <w:t> </w:t>
            </w:r>
          </w:p>
        </w:tc>
        <w:tc>
          <w:tcPr>
            <w:tcW w:w="691" w:type="pct"/>
            <w:tcBorders>
              <w:top w:val="nil"/>
              <w:left w:val="nil"/>
              <w:bottom w:val="single" w:sz="4" w:space="0" w:color="auto"/>
              <w:right w:val="nil"/>
            </w:tcBorders>
            <w:shd w:val="clear" w:color="auto" w:fill="auto"/>
            <w:vAlign w:val="bottom"/>
            <w:hideMark/>
          </w:tcPr>
          <w:p w14:paraId="76F80E83" w14:textId="77777777" w:rsidR="0008373D" w:rsidRPr="002E0C91" w:rsidRDefault="0008373D" w:rsidP="00926896">
            <w:pPr>
              <w:ind w:left="-180" w:firstLine="180"/>
              <w:jc w:val="right"/>
              <w:rPr>
                <w:b/>
                <w:bCs/>
                <w:color w:val="000000"/>
                <w:sz w:val="18"/>
                <w:szCs w:val="18"/>
                <w:lang w:eastAsia="en-GB"/>
              </w:rPr>
            </w:pPr>
            <w:r w:rsidRPr="002E0C91">
              <w:rPr>
                <w:b/>
                <w:bCs/>
                <w:color w:val="000000"/>
                <w:sz w:val="18"/>
                <w:szCs w:val="18"/>
                <w:lang w:eastAsia="en-GB"/>
              </w:rPr>
              <w:t>On demand and less than 1 month</w:t>
            </w:r>
          </w:p>
        </w:tc>
        <w:tc>
          <w:tcPr>
            <w:tcW w:w="635" w:type="pct"/>
            <w:tcBorders>
              <w:top w:val="nil"/>
              <w:left w:val="nil"/>
              <w:bottom w:val="single" w:sz="4" w:space="0" w:color="auto"/>
              <w:right w:val="nil"/>
            </w:tcBorders>
            <w:shd w:val="clear" w:color="auto" w:fill="auto"/>
            <w:vAlign w:val="bottom"/>
            <w:hideMark/>
          </w:tcPr>
          <w:p w14:paraId="2551BD57" w14:textId="77777777" w:rsidR="0008373D" w:rsidRPr="002E0C91" w:rsidRDefault="0008373D" w:rsidP="00926896">
            <w:pPr>
              <w:ind w:left="-180" w:firstLine="180"/>
              <w:jc w:val="right"/>
              <w:rPr>
                <w:b/>
                <w:bCs/>
                <w:color w:val="000000"/>
                <w:sz w:val="18"/>
                <w:szCs w:val="18"/>
                <w:lang w:eastAsia="en-GB"/>
              </w:rPr>
            </w:pPr>
            <w:r w:rsidRPr="002E0C91">
              <w:rPr>
                <w:b/>
                <w:bCs/>
                <w:color w:val="000000"/>
                <w:sz w:val="18"/>
                <w:szCs w:val="18"/>
                <w:lang w:eastAsia="en-GB"/>
              </w:rPr>
              <w:t>From 1 to 6 months</w:t>
            </w:r>
          </w:p>
        </w:tc>
        <w:tc>
          <w:tcPr>
            <w:tcW w:w="689" w:type="pct"/>
            <w:tcBorders>
              <w:top w:val="nil"/>
              <w:left w:val="nil"/>
              <w:bottom w:val="single" w:sz="4" w:space="0" w:color="auto"/>
              <w:right w:val="nil"/>
            </w:tcBorders>
            <w:shd w:val="clear" w:color="auto" w:fill="auto"/>
            <w:vAlign w:val="bottom"/>
            <w:hideMark/>
          </w:tcPr>
          <w:p w14:paraId="4BD96EEC" w14:textId="77777777" w:rsidR="0008373D" w:rsidRPr="002E0C91" w:rsidRDefault="0008373D" w:rsidP="00926896">
            <w:pPr>
              <w:ind w:left="-180" w:firstLine="180"/>
              <w:jc w:val="right"/>
              <w:rPr>
                <w:b/>
                <w:bCs/>
                <w:color w:val="000000"/>
                <w:sz w:val="18"/>
                <w:szCs w:val="18"/>
                <w:lang w:eastAsia="en-GB"/>
              </w:rPr>
            </w:pPr>
            <w:r w:rsidRPr="002E0C91">
              <w:rPr>
                <w:b/>
                <w:bCs/>
                <w:color w:val="000000"/>
                <w:sz w:val="18"/>
                <w:szCs w:val="18"/>
                <w:lang w:eastAsia="en-GB"/>
              </w:rPr>
              <w:t>From 6 to 12 months</w:t>
            </w:r>
          </w:p>
        </w:tc>
        <w:tc>
          <w:tcPr>
            <w:tcW w:w="605" w:type="pct"/>
            <w:tcBorders>
              <w:top w:val="nil"/>
              <w:left w:val="nil"/>
              <w:bottom w:val="single" w:sz="4" w:space="0" w:color="auto"/>
              <w:right w:val="nil"/>
            </w:tcBorders>
            <w:shd w:val="clear" w:color="auto" w:fill="auto"/>
            <w:vAlign w:val="bottom"/>
            <w:hideMark/>
          </w:tcPr>
          <w:p w14:paraId="6F81360A" w14:textId="77777777" w:rsidR="0008373D" w:rsidRPr="002E0C91" w:rsidRDefault="0008373D" w:rsidP="00926896">
            <w:pPr>
              <w:ind w:left="-180" w:firstLine="180"/>
              <w:jc w:val="right"/>
              <w:rPr>
                <w:b/>
                <w:bCs/>
                <w:color w:val="000000"/>
                <w:sz w:val="18"/>
                <w:szCs w:val="18"/>
                <w:lang w:eastAsia="en-GB"/>
              </w:rPr>
            </w:pPr>
            <w:r w:rsidRPr="002E0C91">
              <w:rPr>
                <w:b/>
                <w:bCs/>
                <w:color w:val="000000"/>
                <w:sz w:val="18"/>
                <w:szCs w:val="18"/>
                <w:lang w:eastAsia="en-GB"/>
              </w:rPr>
              <w:t>From 1 to 5 years</w:t>
            </w:r>
          </w:p>
        </w:tc>
        <w:tc>
          <w:tcPr>
            <w:tcW w:w="684" w:type="pct"/>
            <w:tcBorders>
              <w:top w:val="nil"/>
              <w:left w:val="nil"/>
              <w:bottom w:val="single" w:sz="4" w:space="0" w:color="auto"/>
              <w:right w:val="nil"/>
            </w:tcBorders>
            <w:shd w:val="clear" w:color="auto" w:fill="auto"/>
            <w:vAlign w:val="bottom"/>
            <w:hideMark/>
          </w:tcPr>
          <w:p w14:paraId="4B030376" w14:textId="77777777" w:rsidR="0008373D" w:rsidRPr="002E0C91" w:rsidRDefault="0008373D" w:rsidP="00926896">
            <w:pPr>
              <w:ind w:left="-180" w:right="-107" w:firstLine="180"/>
              <w:jc w:val="right"/>
              <w:rPr>
                <w:b/>
                <w:bCs/>
                <w:color w:val="000000"/>
                <w:sz w:val="18"/>
                <w:szCs w:val="18"/>
                <w:lang w:eastAsia="en-GB"/>
              </w:rPr>
            </w:pPr>
            <w:r w:rsidRPr="002E0C91">
              <w:rPr>
                <w:b/>
                <w:bCs/>
                <w:color w:val="000000"/>
                <w:sz w:val="18"/>
                <w:szCs w:val="18"/>
                <w:lang w:eastAsia="en-GB"/>
              </w:rPr>
              <w:t>Total</w:t>
            </w:r>
          </w:p>
        </w:tc>
      </w:tr>
      <w:tr w:rsidR="0008373D" w:rsidRPr="002E0C91" w14:paraId="4643717E" w14:textId="77777777" w:rsidTr="00926896">
        <w:trPr>
          <w:trHeight w:val="300"/>
        </w:trPr>
        <w:tc>
          <w:tcPr>
            <w:tcW w:w="1695" w:type="pct"/>
            <w:tcBorders>
              <w:top w:val="nil"/>
              <w:left w:val="nil"/>
              <w:bottom w:val="nil"/>
              <w:right w:val="nil"/>
            </w:tcBorders>
            <w:shd w:val="clear" w:color="auto" w:fill="auto"/>
            <w:noWrap/>
            <w:vAlign w:val="bottom"/>
            <w:hideMark/>
          </w:tcPr>
          <w:p w14:paraId="50852512" w14:textId="77777777" w:rsidR="0008373D" w:rsidRPr="002E0C91" w:rsidRDefault="0008373D" w:rsidP="00926896">
            <w:pPr>
              <w:ind w:left="-180" w:firstLine="180"/>
              <w:rPr>
                <w:color w:val="000000"/>
                <w:sz w:val="18"/>
                <w:szCs w:val="18"/>
                <w:lang w:eastAsia="en-GB"/>
              </w:rPr>
            </w:pPr>
            <w:r w:rsidRPr="002E0C91">
              <w:rPr>
                <w:color w:val="000000"/>
                <w:sz w:val="18"/>
                <w:szCs w:val="18"/>
                <w:lang w:eastAsia="en-GB"/>
              </w:rPr>
              <w:t>Payables</w:t>
            </w:r>
          </w:p>
        </w:tc>
        <w:tc>
          <w:tcPr>
            <w:tcW w:w="691" w:type="pct"/>
            <w:tcBorders>
              <w:top w:val="nil"/>
              <w:left w:val="nil"/>
              <w:bottom w:val="nil"/>
              <w:right w:val="nil"/>
            </w:tcBorders>
            <w:shd w:val="clear" w:color="auto" w:fill="auto"/>
            <w:noWrap/>
            <w:vAlign w:val="bottom"/>
          </w:tcPr>
          <w:p w14:paraId="1EEC15A8" w14:textId="77777777" w:rsidR="0008373D" w:rsidRPr="002E0C91" w:rsidRDefault="0008373D" w:rsidP="00926896">
            <w:pPr>
              <w:ind w:left="-180" w:firstLine="180"/>
              <w:jc w:val="right"/>
              <w:rPr>
                <w:color w:val="000000"/>
                <w:sz w:val="18"/>
                <w:szCs w:val="18"/>
                <w:lang w:eastAsia="en-GB"/>
              </w:rPr>
            </w:pPr>
            <w:r>
              <w:rPr>
                <w:color w:val="000000"/>
                <w:sz w:val="18"/>
                <w:szCs w:val="18"/>
                <w:lang w:eastAsia="en-GB"/>
              </w:rPr>
              <w:t>384,919</w:t>
            </w:r>
          </w:p>
        </w:tc>
        <w:tc>
          <w:tcPr>
            <w:tcW w:w="635" w:type="pct"/>
            <w:tcBorders>
              <w:top w:val="nil"/>
              <w:left w:val="nil"/>
              <w:bottom w:val="nil"/>
              <w:right w:val="nil"/>
            </w:tcBorders>
            <w:shd w:val="clear" w:color="auto" w:fill="auto"/>
            <w:noWrap/>
            <w:vAlign w:val="bottom"/>
          </w:tcPr>
          <w:p w14:paraId="62079A02" w14:textId="77777777" w:rsidR="0008373D" w:rsidRPr="002E0C91" w:rsidRDefault="0008373D" w:rsidP="00926896">
            <w:pPr>
              <w:ind w:left="-180" w:firstLine="180"/>
              <w:jc w:val="right"/>
              <w:rPr>
                <w:color w:val="000000"/>
                <w:sz w:val="18"/>
                <w:szCs w:val="18"/>
                <w:lang w:eastAsia="en-GB"/>
              </w:rPr>
            </w:pPr>
            <w:r>
              <w:rPr>
                <w:color w:val="000000"/>
                <w:sz w:val="18"/>
                <w:szCs w:val="18"/>
                <w:lang w:eastAsia="en-GB"/>
              </w:rPr>
              <w:t>-</w:t>
            </w:r>
          </w:p>
        </w:tc>
        <w:tc>
          <w:tcPr>
            <w:tcW w:w="689" w:type="pct"/>
            <w:tcBorders>
              <w:top w:val="nil"/>
              <w:left w:val="nil"/>
              <w:bottom w:val="nil"/>
              <w:right w:val="nil"/>
            </w:tcBorders>
            <w:shd w:val="clear" w:color="auto" w:fill="auto"/>
            <w:noWrap/>
            <w:vAlign w:val="bottom"/>
          </w:tcPr>
          <w:p w14:paraId="58AC1F9C" w14:textId="77777777" w:rsidR="0008373D" w:rsidRPr="002E0C91" w:rsidRDefault="0008373D" w:rsidP="00926896">
            <w:pPr>
              <w:ind w:left="-180" w:firstLine="180"/>
              <w:jc w:val="right"/>
              <w:rPr>
                <w:color w:val="000000"/>
                <w:sz w:val="18"/>
                <w:szCs w:val="18"/>
                <w:lang w:eastAsia="en-GB"/>
              </w:rPr>
            </w:pPr>
            <w:r>
              <w:rPr>
                <w:color w:val="000000"/>
                <w:sz w:val="18"/>
                <w:szCs w:val="18"/>
                <w:lang w:eastAsia="en-GB"/>
              </w:rPr>
              <w:t>-</w:t>
            </w:r>
          </w:p>
        </w:tc>
        <w:tc>
          <w:tcPr>
            <w:tcW w:w="605" w:type="pct"/>
            <w:tcBorders>
              <w:top w:val="nil"/>
              <w:left w:val="nil"/>
              <w:bottom w:val="nil"/>
              <w:right w:val="nil"/>
            </w:tcBorders>
            <w:shd w:val="clear" w:color="auto" w:fill="auto"/>
            <w:noWrap/>
            <w:vAlign w:val="bottom"/>
          </w:tcPr>
          <w:p w14:paraId="5E457831" w14:textId="77777777" w:rsidR="0008373D" w:rsidRPr="002E0C91" w:rsidRDefault="0008373D" w:rsidP="00926896">
            <w:pPr>
              <w:ind w:left="-180" w:firstLine="180"/>
              <w:jc w:val="right"/>
              <w:rPr>
                <w:color w:val="000000"/>
                <w:sz w:val="18"/>
                <w:szCs w:val="18"/>
                <w:lang w:eastAsia="en-GB"/>
              </w:rPr>
            </w:pPr>
            <w:r>
              <w:rPr>
                <w:color w:val="000000"/>
                <w:sz w:val="18"/>
                <w:szCs w:val="18"/>
                <w:lang w:eastAsia="en-GB"/>
              </w:rPr>
              <w:t>-</w:t>
            </w:r>
          </w:p>
        </w:tc>
        <w:tc>
          <w:tcPr>
            <w:tcW w:w="684" w:type="pct"/>
            <w:tcBorders>
              <w:top w:val="nil"/>
              <w:left w:val="nil"/>
              <w:bottom w:val="nil"/>
              <w:right w:val="nil"/>
            </w:tcBorders>
            <w:shd w:val="clear" w:color="auto" w:fill="auto"/>
            <w:noWrap/>
            <w:vAlign w:val="bottom"/>
          </w:tcPr>
          <w:p w14:paraId="2A20C572" w14:textId="77777777" w:rsidR="0008373D" w:rsidRPr="002E0C91" w:rsidRDefault="0008373D" w:rsidP="00926896">
            <w:pPr>
              <w:ind w:left="-180" w:right="-107" w:firstLine="180"/>
              <w:jc w:val="right"/>
              <w:rPr>
                <w:color w:val="000000"/>
                <w:sz w:val="18"/>
                <w:szCs w:val="18"/>
                <w:lang w:val="en-US" w:eastAsia="en-GB"/>
              </w:rPr>
            </w:pPr>
            <w:r>
              <w:rPr>
                <w:color w:val="000000"/>
                <w:sz w:val="18"/>
                <w:szCs w:val="18"/>
                <w:lang w:val="en-US" w:eastAsia="en-GB"/>
              </w:rPr>
              <w:t>384,919</w:t>
            </w:r>
          </w:p>
        </w:tc>
      </w:tr>
      <w:tr w:rsidR="0008373D" w:rsidRPr="002E0C91" w14:paraId="4D0DCE95" w14:textId="77777777" w:rsidTr="00926896">
        <w:trPr>
          <w:trHeight w:val="300"/>
        </w:trPr>
        <w:tc>
          <w:tcPr>
            <w:tcW w:w="1695" w:type="pct"/>
            <w:tcBorders>
              <w:top w:val="nil"/>
              <w:left w:val="nil"/>
              <w:bottom w:val="nil"/>
              <w:right w:val="nil"/>
            </w:tcBorders>
            <w:shd w:val="clear" w:color="auto" w:fill="auto"/>
            <w:noWrap/>
            <w:vAlign w:val="bottom"/>
            <w:hideMark/>
          </w:tcPr>
          <w:p w14:paraId="2C001534" w14:textId="77777777" w:rsidR="0008373D" w:rsidRPr="002E0C91" w:rsidRDefault="0008373D" w:rsidP="00926896">
            <w:pPr>
              <w:ind w:left="-180" w:firstLine="180"/>
              <w:rPr>
                <w:color w:val="000000"/>
                <w:sz w:val="18"/>
                <w:szCs w:val="18"/>
                <w:lang w:eastAsia="en-GB"/>
              </w:rPr>
            </w:pPr>
            <w:r w:rsidRPr="002E0C91">
              <w:rPr>
                <w:color w:val="000000"/>
                <w:sz w:val="18"/>
                <w:szCs w:val="18"/>
                <w:lang w:eastAsia="en-GB"/>
              </w:rPr>
              <w:t>Other liabilities</w:t>
            </w:r>
          </w:p>
        </w:tc>
        <w:tc>
          <w:tcPr>
            <w:tcW w:w="691" w:type="pct"/>
            <w:tcBorders>
              <w:top w:val="nil"/>
              <w:left w:val="nil"/>
              <w:bottom w:val="nil"/>
              <w:right w:val="nil"/>
            </w:tcBorders>
            <w:shd w:val="clear" w:color="auto" w:fill="auto"/>
            <w:noWrap/>
            <w:vAlign w:val="bottom"/>
          </w:tcPr>
          <w:p w14:paraId="1A3A4090" w14:textId="26554070" w:rsidR="0008373D" w:rsidRPr="002E0C91" w:rsidRDefault="00A64ECA" w:rsidP="00926896">
            <w:pPr>
              <w:ind w:left="-180" w:firstLine="180"/>
              <w:jc w:val="right"/>
              <w:rPr>
                <w:color w:val="000000"/>
                <w:sz w:val="18"/>
                <w:szCs w:val="18"/>
                <w:lang w:eastAsia="en-GB"/>
              </w:rPr>
            </w:pPr>
            <w:r>
              <w:rPr>
                <w:color w:val="000000"/>
                <w:sz w:val="18"/>
                <w:szCs w:val="18"/>
                <w:lang w:eastAsia="en-GB"/>
              </w:rPr>
              <w:t>18,689</w:t>
            </w:r>
          </w:p>
        </w:tc>
        <w:tc>
          <w:tcPr>
            <w:tcW w:w="635" w:type="pct"/>
            <w:tcBorders>
              <w:top w:val="nil"/>
              <w:left w:val="nil"/>
              <w:bottom w:val="nil"/>
              <w:right w:val="nil"/>
            </w:tcBorders>
            <w:shd w:val="clear" w:color="auto" w:fill="auto"/>
            <w:noWrap/>
            <w:vAlign w:val="bottom"/>
          </w:tcPr>
          <w:p w14:paraId="47CB9187" w14:textId="77777777" w:rsidR="0008373D" w:rsidRPr="002E0C91" w:rsidRDefault="0008373D" w:rsidP="00926896">
            <w:pPr>
              <w:ind w:left="-180" w:firstLine="180"/>
              <w:jc w:val="right"/>
              <w:rPr>
                <w:color w:val="000000"/>
                <w:sz w:val="18"/>
                <w:szCs w:val="18"/>
                <w:lang w:eastAsia="en-GB"/>
              </w:rPr>
            </w:pPr>
            <w:r>
              <w:rPr>
                <w:color w:val="000000"/>
                <w:sz w:val="18"/>
                <w:szCs w:val="18"/>
                <w:lang w:eastAsia="en-GB"/>
              </w:rPr>
              <w:t>-</w:t>
            </w:r>
          </w:p>
        </w:tc>
        <w:tc>
          <w:tcPr>
            <w:tcW w:w="689" w:type="pct"/>
            <w:tcBorders>
              <w:top w:val="nil"/>
              <w:left w:val="nil"/>
              <w:bottom w:val="nil"/>
              <w:right w:val="nil"/>
            </w:tcBorders>
            <w:shd w:val="clear" w:color="auto" w:fill="auto"/>
            <w:noWrap/>
            <w:vAlign w:val="bottom"/>
          </w:tcPr>
          <w:p w14:paraId="679AD13D" w14:textId="77777777" w:rsidR="0008373D" w:rsidRPr="002E0C91" w:rsidRDefault="0008373D" w:rsidP="00926896">
            <w:pPr>
              <w:ind w:left="-180" w:firstLine="180"/>
              <w:jc w:val="right"/>
              <w:rPr>
                <w:color w:val="000000"/>
                <w:sz w:val="18"/>
                <w:szCs w:val="18"/>
                <w:lang w:eastAsia="en-GB"/>
              </w:rPr>
            </w:pPr>
            <w:r>
              <w:rPr>
                <w:color w:val="000000"/>
                <w:sz w:val="18"/>
                <w:szCs w:val="18"/>
                <w:lang w:eastAsia="en-GB"/>
              </w:rPr>
              <w:t>-</w:t>
            </w:r>
          </w:p>
        </w:tc>
        <w:tc>
          <w:tcPr>
            <w:tcW w:w="605" w:type="pct"/>
            <w:tcBorders>
              <w:top w:val="nil"/>
              <w:left w:val="nil"/>
              <w:bottom w:val="nil"/>
              <w:right w:val="nil"/>
            </w:tcBorders>
            <w:shd w:val="clear" w:color="auto" w:fill="auto"/>
            <w:noWrap/>
            <w:vAlign w:val="bottom"/>
          </w:tcPr>
          <w:p w14:paraId="395A1243" w14:textId="77777777" w:rsidR="0008373D" w:rsidRPr="002E0C91" w:rsidRDefault="0008373D" w:rsidP="00926896">
            <w:pPr>
              <w:ind w:left="-180" w:firstLine="180"/>
              <w:jc w:val="right"/>
              <w:rPr>
                <w:color w:val="000000"/>
                <w:sz w:val="18"/>
                <w:szCs w:val="18"/>
                <w:lang w:eastAsia="en-GB"/>
              </w:rPr>
            </w:pPr>
            <w:r>
              <w:rPr>
                <w:color w:val="000000"/>
                <w:sz w:val="18"/>
                <w:szCs w:val="18"/>
                <w:lang w:eastAsia="en-GB"/>
              </w:rPr>
              <w:t>-</w:t>
            </w:r>
          </w:p>
        </w:tc>
        <w:tc>
          <w:tcPr>
            <w:tcW w:w="684" w:type="pct"/>
            <w:tcBorders>
              <w:top w:val="nil"/>
              <w:left w:val="nil"/>
              <w:bottom w:val="nil"/>
              <w:right w:val="nil"/>
            </w:tcBorders>
            <w:shd w:val="clear" w:color="auto" w:fill="auto"/>
            <w:noWrap/>
            <w:vAlign w:val="bottom"/>
          </w:tcPr>
          <w:p w14:paraId="4F7B6CE8" w14:textId="497043F8" w:rsidR="0008373D" w:rsidRPr="002E0C91" w:rsidRDefault="00A64ECA" w:rsidP="00926896">
            <w:pPr>
              <w:ind w:left="-180" w:right="-107" w:firstLine="180"/>
              <w:jc w:val="right"/>
              <w:rPr>
                <w:color w:val="000000"/>
                <w:sz w:val="18"/>
                <w:szCs w:val="18"/>
                <w:lang w:eastAsia="en-GB"/>
              </w:rPr>
            </w:pPr>
            <w:r>
              <w:rPr>
                <w:color w:val="000000"/>
                <w:sz w:val="18"/>
                <w:szCs w:val="18"/>
                <w:lang w:eastAsia="en-GB"/>
              </w:rPr>
              <w:t>18,689</w:t>
            </w:r>
          </w:p>
        </w:tc>
      </w:tr>
      <w:tr w:rsidR="0008373D" w:rsidRPr="002E0C91" w14:paraId="51749CDD" w14:textId="77777777" w:rsidTr="00926896">
        <w:trPr>
          <w:trHeight w:val="315"/>
        </w:trPr>
        <w:tc>
          <w:tcPr>
            <w:tcW w:w="1695" w:type="pct"/>
            <w:tcBorders>
              <w:top w:val="single" w:sz="4" w:space="0" w:color="auto"/>
              <w:left w:val="nil"/>
              <w:bottom w:val="double" w:sz="6" w:space="0" w:color="auto"/>
              <w:right w:val="nil"/>
            </w:tcBorders>
            <w:shd w:val="clear" w:color="auto" w:fill="auto"/>
            <w:noWrap/>
            <w:vAlign w:val="bottom"/>
            <w:hideMark/>
          </w:tcPr>
          <w:p w14:paraId="25BAFCDA" w14:textId="77777777" w:rsidR="0008373D" w:rsidRPr="002E0C91" w:rsidRDefault="0008373D" w:rsidP="00926896">
            <w:pPr>
              <w:ind w:left="-180" w:firstLine="180"/>
              <w:rPr>
                <w:b/>
                <w:bCs/>
                <w:color w:val="000000"/>
                <w:sz w:val="18"/>
                <w:szCs w:val="18"/>
                <w:lang w:eastAsia="en-GB"/>
              </w:rPr>
            </w:pPr>
            <w:r w:rsidRPr="002E0C91">
              <w:rPr>
                <w:b/>
                <w:bCs/>
                <w:color w:val="000000"/>
                <w:sz w:val="18"/>
                <w:szCs w:val="18"/>
                <w:lang w:eastAsia="en-GB"/>
              </w:rPr>
              <w:t>Total liabilities</w:t>
            </w:r>
          </w:p>
        </w:tc>
        <w:tc>
          <w:tcPr>
            <w:tcW w:w="691" w:type="pct"/>
            <w:tcBorders>
              <w:top w:val="single" w:sz="4" w:space="0" w:color="auto"/>
              <w:left w:val="nil"/>
              <w:bottom w:val="double" w:sz="6" w:space="0" w:color="auto"/>
              <w:right w:val="nil"/>
            </w:tcBorders>
            <w:shd w:val="clear" w:color="auto" w:fill="auto"/>
            <w:noWrap/>
            <w:vAlign w:val="bottom"/>
          </w:tcPr>
          <w:p w14:paraId="1182FF0E" w14:textId="3F99C190" w:rsidR="0008373D" w:rsidRPr="002E0C91" w:rsidRDefault="00A64ECA" w:rsidP="00926896">
            <w:pPr>
              <w:ind w:left="-180" w:firstLine="180"/>
              <w:jc w:val="right"/>
              <w:rPr>
                <w:b/>
                <w:bCs/>
                <w:color w:val="000000"/>
                <w:sz w:val="18"/>
                <w:szCs w:val="18"/>
                <w:lang w:eastAsia="en-GB"/>
              </w:rPr>
            </w:pPr>
            <w:r>
              <w:rPr>
                <w:b/>
                <w:bCs/>
                <w:color w:val="000000"/>
                <w:sz w:val="18"/>
                <w:szCs w:val="18"/>
                <w:lang w:eastAsia="en-GB"/>
              </w:rPr>
              <w:t>403,608</w:t>
            </w:r>
          </w:p>
        </w:tc>
        <w:tc>
          <w:tcPr>
            <w:tcW w:w="635" w:type="pct"/>
            <w:tcBorders>
              <w:top w:val="single" w:sz="4" w:space="0" w:color="auto"/>
              <w:left w:val="nil"/>
              <w:bottom w:val="double" w:sz="6" w:space="0" w:color="auto"/>
              <w:right w:val="nil"/>
            </w:tcBorders>
            <w:shd w:val="clear" w:color="auto" w:fill="auto"/>
            <w:noWrap/>
            <w:vAlign w:val="bottom"/>
          </w:tcPr>
          <w:p w14:paraId="697F76FA" w14:textId="04C7ECB9" w:rsidR="0008373D" w:rsidRPr="002E0C91" w:rsidRDefault="00A64ECA" w:rsidP="00926896">
            <w:pPr>
              <w:ind w:left="-180" w:firstLine="180"/>
              <w:jc w:val="right"/>
              <w:rPr>
                <w:b/>
                <w:bCs/>
                <w:color w:val="000000"/>
                <w:sz w:val="18"/>
                <w:szCs w:val="18"/>
                <w:lang w:eastAsia="en-GB"/>
              </w:rPr>
            </w:pPr>
            <w:r>
              <w:rPr>
                <w:b/>
                <w:bCs/>
                <w:color w:val="000000"/>
                <w:sz w:val="18"/>
                <w:szCs w:val="18"/>
                <w:lang w:eastAsia="en-GB"/>
              </w:rPr>
              <w:t>-</w:t>
            </w:r>
          </w:p>
        </w:tc>
        <w:tc>
          <w:tcPr>
            <w:tcW w:w="689" w:type="pct"/>
            <w:tcBorders>
              <w:top w:val="single" w:sz="4" w:space="0" w:color="auto"/>
              <w:left w:val="nil"/>
              <w:bottom w:val="double" w:sz="6" w:space="0" w:color="auto"/>
              <w:right w:val="nil"/>
            </w:tcBorders>
            <w:shd w:val="clear" w:color="auto" w:fill="auto"/>
            <w:noWrap/>
            <w:vAlign w:val="bottom"/>
          </w:tcPr>
          <w:p w14:paraId="5A044C2E" w14:textId="68490547" w:rsidR="0008373D" w:rsidRPr="002E0C91" w:rsidRDefault="00A64ECA" w:rsidP="00926896">
            <w:pPr>
              <w:ind w:left="-180" w:firstLine="180"/>
              <w:jc w:val="right"/>
              <w:rPr>
                <w:b/>
                <w:bCs/>
                <w:color w:val="000000"/>
                <w:sz w:val="18"/>
                <w:szCs w:val="18"/>
                <w:lang w:eastAsia="en-GB"/>
              </w:rPr>
            </w:pPr>
            <w:r>
              <w:rPr>
                <w:b/>
                <w:bCs/>
                <w:color w:val="000000"/>
                <w:sz w:val="18"/>
                <w:szCs w:val="18"/>
                <w:lang w:eastAsia="en-GB"/>
              </w:rPr>
              <w:t>-</w:t>
            </w:r>
          </w:p>
        </w:tc>
        <w:tc>
          <w:tcPr>
            <w:tcW w:w="605" w:type="pct"/>
            <w:tcBorders>
              <w:top w:val="single" w:sz="4" w:space="0" w:color="auto"/>
              <w:left w:val="nil"/>
              <w:bottom w:val="double" w:sz="6" w:space="0" w:color="auto"/>
              <w:right w:val="nil"/>
            </w:tcBorders>
            <w:shd w:val="clear" w:color="auto" w:fill="auto"/>
            <w:noWrap/>
            <w:vAlign w:val="bottom"/>
          </w:tcPr>
          <w:p w14:paraId="71EB681C" w14:textId="767A94EA" w:rsidR="0008373D" w:rsidRPr="002E0C91" w:rsidRDefault="00A64ECA" w:rsidP="00926896">
            <w:pPr>
              <w:ind w:left="-180" w:firstLine="180"/>
              <w:jc w:val="right"/>
              <w:rPr>
                <w:b/>
                <w:bCs/>
                <w:color w:val="000000"/>
                <w:sz w:val="18"/>
                <w:szCs w:val="18"/>
                <w:lang w:eastAsia="en-GB"/>
              </w:rPr>
            </w:pPr>
            <w:r>
              <w:rPr>
                <w:b/>
                <w:bCs/>
                <w:color w:val="000000"/>
                <w:sz w:val="18"/>
                <w:szCs w:val="18"/>
                <w:lang w:eastAsia="en-GB"/>
              </w:rPr>
              <w:t>-</w:t>
            </w:r>
          </w:p>
        </w:tc>
        <w:tc>
          <w:tcPr>
            <w:tcW w:w="684" w:type="pct"/>
            <w:tcBorders>
              <w:top w:val="single" w:sz="4" w:space="0" w:color="auto"/>
              <w:left w:val="nil"/>
              <w:bottom w:val="double" w:sz="6" w:space="0" w:color="auto"/>
              <w:right w:val="nil"/>
            </w:tcBorders>
            <w:shd w:val="clear" w:color="auto" w:fill="auto"/>
            <w:noWrap/>
            <w:vAlign w:val="bottom"/>
          </w:tcPr>
          <w:p w14:paraId="6F05ED7C" w14:textId="516BD010" w:rsidR="0008373D" w:rsidRPr="002E0C91" w:rsidRDefault="00A64ECA" w:rsidP="00926896">
            <w:pPr>
              <w:ind w:left="-180" w:right="-107" w:firstLine="180"/>
              <w:jc w:val="right"/>
              <w:rPr>
                <w:b/>
                <w:bCs/>
                <w:color w:val="000000"/>
                <w:sz w:val="18"/>
                <w:szCs w:val="18"/>
                <w:lang w:eastAsia="en-GB"/>
              </w:rPr>
            </w:pPr>
            <w:r>
              <w:rPr>
                <w:b/>
                <w:bCs/>
                <w:color w:val="000000"/>
                <w:sz w:val="18"/>
                <w:szCs w:val="18"/>
                <w:lang w:eastAsia="en-GB"/>
              </w:rPr>
              <w:t>403,608</w:t>
            </w:r>
          </w:p>
        </w:tc>
      </w:tr>
    </w:tbl>
    <w:p w14:paraId="6CBAB4BA" w14:textId="709619C7" w:rsidR="00926896" w:rsidRPr="00EC690A" w:rsidRDefault="00926896" w:rsidP="00926896">
      <w:pPr>
        <w:spacing w:before="120" w:after="120"/>
        <w:jc w:val="both"/>
        <w:rPr>
          <w:sz w:val="18"/>
          <w:szCs w:val="18"/>
        </w:rPr>
      </w:pPr>
      <w:r w:rsidRPr="00EC690A">
        <w:rPr>
          <w:sz w:val="18"/>
          <w:szCs w:val="18"/>
        </w:rPr>
        <w:t>In the opinion of the Company’s management, the matching and/or controlled mismatching of the maturities and interest rates of assets and liabilities is fundamental for successful management of the Company. It is unusual for insurers ever to be completely matched since business transacted is often of an uncertain term and of different types. An unmatched position potentially enhances profitability but can also increase the risk of losses. The maturities of assets and liabilities and the ability to replace, at an acceptable cost, interest-bearing liabilities as they mature, are important factors in assessing the liquidity of the Company and its exposure to changes in interest and exchange rates.</w:t>
      </w:r>
    </w:p>
    <w:p w14:paraId="51B444AC" w14:textId="77777777" w:rsidR="00926896" w:rsidRPr="00EC690A" w:rsidRDefault="00926896" w:rsidP="00926896">
      <w:pPr>
        <w:spacing w:before="120" w:after="120"/>
        <w:jc w:val="both"/>
        <w:rPr>
          <w:sz w:val="18"/>
          <w:szCs w:val="18"/>
        </w:rPr>
      </w:pPr>
      <w:r w:rsidRPr="00EC690A">
        <w:rPr>
          <w:b/>
          <w:i/>
          <w:sz w:val="18"/>
          <w:szCs w:val="18"/>
        </w:rPr>
        <w:t xml:space="preserve">Interest rate risk. </w:t>
      </w:r>
      <w:r w:rsidRPr="00EC690A">
        <w:rPr>
          <w:sz w:val="18"/>
          <w:szCs w:val="18"/>
        </w:rPr>
        <w:t>This risk appears when the Company</w:t>
      </w:r>
      <w:r w:rsidRPr="00EC690A">
        <w:rPr>
          <w:iCs/>
          <w:sz w:val="18"/>
          <w:szCs w:val="18"/>
        </w:rPr>
        <w:t xml:space="preserve"> </w:t>
      </w:r>
      <w:r w:rsidRPr="00EC690A">
        <w:rPr>
          <w:sz w:val="18"/>
          <w:szCs w:val="18"/>
        </w:rPr>
        <w:t xml:space="preserve">takes on exposure to the effects of fluctuations in market interest rates on its financial position and cash flows. Interest margins may increase as a result of such changes but may reduce or create losses </w:t>
      </w:r>
      <w:proofErr w:type="gramStart"/>
      <w:r w:rsidRPr="00EC690A">
        <w:rPr>
          <w:sz w:val="18"/>
          <w:szCs w:val="18"/>
        </w:rPr>
        <w:t>in the event that</w:t>
      </w:r>
      <w:proofErr w:type="gramEnd"/>
      <w:r w:rsidRPr="00EC690A">
        <w:rPr>
          <w:sz w:val="18"/>
          <w:szCs w:val="18"/>
        </w:rPr>
        <w:t xml:space="preserve"> unexpected movements arise.</w:t>
      </w:r>
    </w:p>
    <w:p w14:paraId="0BBB5321" w14:textId="246F6043" w:rsidR="00926896" w:rsidRPr="00EC690A" w:rsidRDefault="00926896" w:rsidP="00926896">
      <w:pPr>
        <w:spacing w:before="120" w:after="120"/>
        <w:jc w:val="both"/>
        <w:rPr>
          <w:sz w:val="18"/>
          <w:szCs w:val="18"/>
        </w:rPr>
      </w:pPr>
      <w:r w:rsidRPr="00EC690A">
        <w:rPr>
          <w:sz w:val="18"/>
          <w:szCs w:val="18"/>
        </w:rPr>
        <w:t>The Company</w:t>
      </w:r>
      <w:r w:rsidRPr="00EC690A">
        <w:rPr>
          <w:iCs/>
          <w:sz w:val="18"/>
          <w:szCs w:val="18"/>
        </w:rPr>
        <w:t xml:space="preserve"> </w:t>
      </w:r>
      <w:r w:rsidRPr="00EC690A">
        <w:rPr>
          <w:sz w:val="18"/>
          <w:szCs w:val="18"/>
        </w:rPr>
        <w:t xml:space="preserve">is not exposed to interest rate risk, principally because it has no material interest bearing liabilities. The only </w:t>
      </w:r>
      <w:proofErr w:type="gramStart"/>
      <w:r w:rsidRPr="00EC690A">
        <w:rPr>
          <w:sz w:val="18"/>
          <w:szCs w:val="18"/>
        </w:rPr>
        <w:t>interest bearing</w:t>
      </w:r>
      <w:proofErr w:type="gramEnd"/>
      <w:r w:rsidRPr="00EC690A">
        <w:rPr>
          <w:sz w:val="18"/>
          <w:szCs w:val="18"/>
        </w:rPr>
        <w:t xml:space="preserve"> asset of the Company is deposits with banks, which carry annual interest rate ranging from </w:t>
      </w:r>
      <w:r>
        <w:rPr>
          <w:sz w:val="18"/>
          <w:szCs w:val="18"/>
        </w:rPr>
        <w:t>2</w:t>
      </w:r>
      <w:r w:rsidRPr="00EC690A">
        <w:rPr>
          <w:sz w:val="18"/>
          <w:szCs w:val="18"/>
        </w:rPr>
        <w:t xml:space="preserve">% to </w:t>
      </w:r>
      <w:r>
        <w:rPr>
          <w:sz w:val="18"/>
          <w:szCs w:val="18"/>
        </w:rPr>
        <w:t>9</w:t>
      </w:r>
      <w:r w:rsidRPr="00EC690A">
        <w:rPr>
          <w:sz w:val="18"/>
          <w:szCs w:val="18"/>
        </w:rPr>
        <w:t>% (Note 2</w:t>
      </w:r>
      <w:r>
        <w:rPr>
          <w:sz w:val="18"/>
          <w:szCs w:val="18"/>
        </w:rPr>
        <w:t>4</w:t>
      </w:r>
      <w:r w:rsidRPr="00EC690A">
        <w:rPr>
          <w:sz w:val="18"/>
          <w:szCs w:val="18"/>
        </w:rPr>
        <w:t>).</w:t>
      </w:r>
    </w:p>
    <w:p w14:paraId="2C70C7E5" w14:textId="77777777" w:rsidR="00926896" w:rsidRPr="00EC690A" w:rsidRDefault="00926896" w:rsidP="00926896">
      <w:pPr>
        <w:spacing w:before="120" w:after="120"/>
        <w:jc w:val="both"/>
        <w:rPr>
          <w:b/>
          <w:i/>
          <w:sz w:val="18"/>
          <w:szCs w:val="18"/>
        </w:rPr>
      </w:pPr>
      <w:r w:rsidRPr="00EC690A">
        <w:rPr>
          <w:b/>
          <w:i/>
          <w:sz w:val="18"/>
          <w:szCs w:val="18"/>
        </w:rPr>
        <w:t xml:space="preserve">Underwriting risk. </w:t>
      </w:r>
      <w:r w:rsidRPr="00EC690A">
        <w:rPr>
          <w:sz w:val="18"/>
          <w:szCs w:val="18"/>
        </w:rPr>
        <w:t xml:space="preserve">The Company assumes underwriting risk when the amount of premiums and/or the term over which they are paid by the insureds differ significantly from the amount of losses and/or the term over which they are compensated to the insureds. </w:t>
      </w:r>
    </w:p>
    <w:p w14:paraId="7DB16ACA" w14:textId="77777777" w:rsidR="00926896" w:rsidRPr="00EC690A" w:rsidRDefault="00926896" w:rsidP="00926896">
      <w:pPr>
        <w:spacing w:before="120"/>
        <w:jc w:val="both"/>
        <w:rPr>
          <w:sz w:val="18"/>
          <w:szCs w:val="18"/>
        </w:rPr>
      </w:pPr>
      <w:r w:rsidRPr="00EC690A">
        <w:rPr>
          <w:sz w:val="18"/>
          <w:szCs w:val="18"/>
        </w:rPr>
        <w:t>The Company controls underwriting risks through:</w:t>
      </w:r>
    </w:p>
    <w:p w14:paraId="5F43A87A" w14:textId="77777777" w:rsidR="00926896" w:rsidRDefault="00926896" w:rsidP="00926896">
      <w:pPr>
        <w:numPr>
          <w:ilvl w:val="0"/>
          <w:numId w:val="11"/>
        </w:numPr>
        <w:tabs>
          <w:tab w:val="clear" w:pos="1080"/>
          <w:tab w:val="num" w:pos="426"/>
        </w:tabs>
        <w:spacing w:before="60" w:after="60"/>
        <w:ind w:left="425" w:hanging="425"/>
        <w:jc w:val="both"/>
        <w:rPr>
          <w:sz w:val="18"/>
          <w:szCs w:val="18"/>
        </w:rPr>
      </w:pPr>
      <w:r w:rsidRPr="00926896">
        <w:rPr>
          <w:sz w:val="18"/>
          <w:szCs w:val="18"/>
        </w:rPr>
        <w:t>Underwriting departments and application of the established underwriting procedures to monitor the insurance portfolio rates by class of business;</w:t>
      </w:r>
    </w:p>
    <w:p w14:paraId="2504158F" w14:textId="50E794C8" w:rsidR="00926896" w:rsidRPr="00926896" w:rsidRDefault="00926896" w:rsidP="00926896">
      <w:pPr>
        <w:numPr>
          <w:ilvl w:val="0"/>
          <w:numId w:val="11"/>
        </w:numPr>
        <w:tabs>
          <w:tab w:val="clear" w:pos="1080"/>
          <w:tab w:val="num" w:pos="426"/>
        </w:tabs>
        <w:spacing w:before="60" w:after="60"/>
        <w:ind w:left="425" w:hanging="425"/>
        <w:jc w:val="both"/>
        <w:rPr>
          <w:sz w:val="18"/>
          <w:szCs w:val="18"/>
        </w:rPr>
      </w:pPr>
      <w:r w:rsidRPr="00926896">
        <w:rPr>
          <w:sz w:val="18"/>
          <w:szCs w:val="18"/>
        </w:rPr>
        <w:t>Outward reinsurance to mitigate the Company’s exposure to great losses/catastrophes;</w:t>
      </w:r>
    </w:p>
    <w:p w14:paraId="28BBCB58" w14:textId="77777777" w:rsidR="00926896" w:rsidRPr="00EC690A" w:rsidRDefault="00926896" w:rsidP="00926896">
      <w:pPr>
        <w:numPr>
          <w:ilvl w:val="0"/>
          <w:numId w:val="11"/>
        </w:numPr>
        <w:tabs>
          <w:tab w:val="clear" w:pos="1080"/>
          <w:tab w:val="num" w:pos="426"/>
        </w:tabs>
        <w:spacing w:before="60" w:after="60"/>
        <w:ind w:left="425" w:hanging="425"/>
        <w:jc w:val="both"/>
        <w:rPr>
          <w:sz w:val="18"/>
          <w:szCs w:val="18"/>
        </w:rPr>
      </w:pPr>
      <w:r w:rsidRPr="00EC690A">
        <w:rPr>
          <w:sz w:val="18"/>
          <w:szCs w:val="18"/>
        </w:rPr>
        <w:t>Asset and liability management control to match the expected insurance premiums with the assets’ maturities;</w:t>
      </w:r>
    </w:p>
    <w:p w14:paraId="4774B1E1" w14:textId="77777777" w:rsidR="00926896" w:rsidRPr="00EC690A" w:rsidRDefault="00926896" w:rsidP="00926896">
      <w:pPr>
        <w:numPr>
          <w:ilvl w:val="0"/>
          <w:numId w:val="11"/>
        </w:numPr>
        <w:tabs>
          <w:tab w:val="clear" w:pos="1080"/>
          <w:tab w:val="num" w:pos="426"/>
        </w:tabs>
        <w:spacing w:before="60" w:after="60"/>
        <w:ind w:left="425" w:hanging="425"/>
        <w:jc w:val="both"/>
        <w:rPr>
          <w:sz w:val="18"/>
          <w:szCs w:val="18"/>
        </w:rPr>
      </w:pPr>
      <w:r w:rsidRPr="00EC690A">
        <w:rPr>
          <w:sz w:val="18"/>
          <w:szCs w:val="18"/>
        </w:rPr>
        <w:t>Diversification of insurance services;</w:t>
      </w:r>
    </w:p>
    <w:p w14:paraId="62D8E671" w14:textId="77777777" w:rsidR="00926896" w:rsidRPr="00EC690A" w:rsidRDefault="00926896" w:rsidP="00926896">
      <w:pPr>
        <w:numPr>
          <w:ilvl w:val="0"/>
          <w:numId w:val="11"/>
        </w:numPr>
        <w:tabs>
          <w:tab w:val="clear" w:pos="1080"/>
          <w:tab w:val="num" w:pos="426"/>
        </w:tabs>
        <w:spacing w:before="60" w:after="60"/>
        <w:ind w:left="425" w:hanging="425"/>
        <w:jc w:val="both"/>
        <w:rPr>
          <w:sz w:val="18"/>
          <w:szCs w:val="18"/>
        </w:rPr>
      </w:pPr>
      <w:r w:rsidRPr="00EC690A">
        <w:rPr>
          <w:sz w:val="18"/>
          <w:szCs w:val="18"/>
        </w:rPr>
        <w:t>Comprehensive actuarial analysis.</w:t>
      </w:r>
    </w:p>
    <w:p w14:paraId="75868BF1" w14:textId="164A94BF" w:rsidR="002E0C91" w:rsidRDefault="002E0C91" w:rsidP="00FE53E7">
      <w:pPr>
        <w:spacing w:before="120" w:after="120"/>
        <w:rPr>
          <w:sz w:val="18"/>
          <w:szCs w:val="18"/>
        </w:rPr>
      </w:pPr>
    </w:p>
    <w:p w14:paraId="46392DF1" w14:textId="627068C0" w:rsidR="00926896" w:rsidRPr="00926896" w:rsidRDefault="00926896" w:rsidP="00926896">
      <w:pPr>
        <w:pStyle w:val="ListParagraph"/>
        <w:numPr>
          <w:ilvl w:val="0"/>
          <w:numId w:val="1"/>
        </w:numPr>
        <w:spacing w:before="240" w:after="120"/>
        <w:ind w:left="357" w:hanging="357"/>
        <w:contextualSpacing w:val="0"/>
        <w:outlineLvl w:val="0"/>
        <w:rPr>
          <w:b/>
          <w:bCs/>
          <w:sz w:val="18"/>
          <w:szCs w:val="18"/>
        </w:rPr>
      </w:pPr>
      <w:bookmarkStart w:id="70" w:name="_Toc57894914"/>
      <w:r w:rsidRPr="00926896">
        <w:rPr>
          <w:b/>
          <w:bCs/>
          <w:sz w:val="18"/>
          <w:szCs w:val="18"/>
        </w:rPr>
        <w:t>Capital management</w:t>
      </w:r>
      <w:bookmarkEnd w:id="70"/>
    </w:p>
    <w:p w14:paraId="5200792F" w14:textId="77777777" w:rsidR="00926896" w:rsidRPr="00926896" w:rsidRDefault="00926896" w:rsidP="00926896">
      <w:pPr>
        <w:spacing w:before="120" w:after="120"/>
        <w:jc w:val="both"/>
        <w:rPr>
          <w:sz w:val="18"/>
          <w:szCs w:val="18"/>
        </w:rPr>
      </w:pPr>
      <w:r w:rsidRPr="00926896">
        <w:rPr>
          <w:sz w:val="18"/>
          <w:szCs w:val="18"/>
        </w:rPr>
        <w:t xml:space="preserve">The Company’s capital management has the following objectives: </w:t>
      </w:r>
    </w:p>
    <w:p w14:paraId="7735EC31" w14:textId="1CA9308D" w:rsidR="00926896" w:rsidRPr="00926896" w:rsidRDefault="00926896" w:rsidP="00926896">
      <w:pPr>
        <w:numPr>
          <w:ilvl w:val="0"/>
          <w:numId w:val="11"/>
        </w:numPr>
        <w:tabs>
          <w:tab w:val="clear" w:pos="1080"/>
          <w:tab w:val="num" w:pos="426"/>
        </w:tabs>
        <w:spacing w:before="60" w:after="60"/>
        <w:ind w:left="425" w:hanging="425"/>
        <w:jc w:val="both"/>
        <w:rPr>
          <w:sz w:val="18"/>
          <w:szCs w:val="18"/>
        </w:rPr>
      </w:pPr>
      <w:r w:rsidRPr="00926896">
        <w:rPr>
          <w:sz w:val="18"/>
          <w:szCs w:val="18"/>
        </w:rPr>
        <w:t>to observe requirements established by Law of the Republic of Azerbaijan “On insurance”;</w:t>
      </w:r>
    </w:p>
    <w:p w14:paraId="6AB3181F" w14:textId="37EAD946" w:rsidR="00926896" w:rsidRPr="00926896" w:rsidRDefault="00926896" w:rsidP="00926896">
      <w:pPr>
        <w:numPr>
          <w:ilvl w:val="0"/>
          <w:numId w:val="11"/>
        </w:numPr>
        <w:tabs>
          <w:tab w:val="clear" w:pos="1080"/>
          <w:tab w:val="num" w:pos="426"/>
        </w:tabs>
        <w:spacing w:before="60" w:after="60"/>
        <w:ind w:left="425" w:hanging="425"/>
        <w:jc w:val="both"/>
        <w:rPr>
          <w:sz w:val="18"/>
          <w:szCs w:val="18"/>
        </w:rPr>
      </w:pPr>
      <w:r w:rsidRPr="00926896">
        <w:rPr>
          <w:sz w:val="18"/>
          <w:szCs w:val="18"/>
        </w:rPr>
        <w:t>to observe the minimum share capital requirements established by legislation of the Republic of Azerbaijan;</w:t>
      </w:r>
    </w:p>
    <w:p w14:paraId="73B15512" w14:textId="196B8C5F" w:rsidR="00926896" w:rsidRPr="00926896" w:rsidRDefault="00926896" w:rsidP="00926896">
      <w:pPr>
        <w:numPr>
          <w:ilvl w:val="0"/>
          <w:numId w:val="11"/>
        </w:numPr>
        <w:tabs>
          <w:tab w:val="clear" w:pos="1080"/>
          <w:tab w:val="num" w:pos="426"/>
        </w:tabs>
        <w:spacing w:before="60" w:after="60"/>
        <w:ind w:left="425" w:hanging="425"/>
        <w:jc w:val="both"/>
        <w:rPr>
          <w:sz w:val="18"/>
          <w:szCs w:val="18"/>
        </w:rPr>
      </w:pPr>
      <w:r w:rsidRPr="00926896">
        <w:rPr>
          <w:sz w:val="18"/>
          <w:szCs w:val="18"/>
        </w:rPr>
        <w:t>to ensure the Company’s ability to operate as a going concern;</w:t>
      </w:r>
    </w:p>
    <w:p w14:paraId="75197E62" w14:textId="452284FC" w:rsidR="00926896" w:rsidRPr="00926896" w:rsidRDefault="00926896" w:rsidP="00926896">
      <w:pPr>
        <w:numPr>
          <w:ilvl w:val="0"/>
          <w:numId w:val="11"/>
        </w:numPr>
        <w:tabs>
          <w:tab w:val="clear" w:pos="1080"/>
          <w:tab w:val="num" w:pos="426"/>
        </w:tabs>
        <w:spacing w:before="60" w:after="60"/>
        <w:ind w:left="425" w:hanging="425"/>
        <w:jc w:val="both"/>
        <w:rPr>
          <w:sz w:val="18"/>
          <w:szCs w:val="18"/>
        </w:rPr>
      </w:pPr>
      <w:r w:rsidRPr="00926896">
        <w:rPr>
          <w:sz w:val="18"/>
          <w:szCs w:val="18"/>
        </w:rPr>
        <w:t xml:space="preserve">to maintain the scope and structure of assets used as cover for equity in accordance with respective legislation of the Republic of Azerbaijan. </w:t>
      </w:r>
    </w:p>
    <w:p w14:paraId="0D6F7F0C" w14:textId="3F632CB5" w:rsidR="00926896" w:rsidRDefault="00926896" w:rsidP="00926896">
      <w:pPr>
        <w:spacing w:before="120" w:after="120"/>
        <w:jc w:val="both"/>
        <w:rPr>
          <w:sz w:val="18"/>
          <w:szCs w:val="18"/>
        </w:rPr>
      </w:pPr>
      <w:r w:rsidRPr="00926896">
        <w:rPr>
          <w:sz w:val="18"/>
          <w:szCs w:val="18"/>
        </w:rPr>
        <w:t xml:space="preserve">The control over compliance of the asset scope and structure with the requirements of the Azerbaijani legislation is exercised </w:t>
      </w:r>
      <w:proofErr w:type="gramStart"/>
      <w:r w:rsidRPr="00926896">
        <w:rPr>
          <w:sz w:val="18"/>
          <w:szCs w:val="18"/>
        </w:rPr>
        <w:t>on the basis of</w:t>
      </w:r>
      <w:proofErr w:type="gramEnd"/>
      <w:r w:rsidRPr="00926896">
        <w:rPr>
          <w:sz w:val="18"/>
          <w:szCs w:val="18"/>
        </w:rPr>
        <w:t xml:space="preserve"> quarterly reports with the corresponding calculations that are verified and approved by the Company’s Chairman of the Board and Chief Accountant. Other capital management objectives are assessed annually.</w:t>
      </w:r>
    </w:p>
    <w:p w14:paraId="5AB6F1C5" w14:textId="7CBA61AA" w:rsidR="00926896" w:rsidRDefault="00926896" w:rsidP="00926896">
      <w:pPr>
        <w:spacing w:before="120" w:after="120"/>
        <w:jc w:val="both"/>
        <w:rPr>
          <w:sz w:val="18"/>
          <w:szCs w:val="18"/>
        </w:rPr>
      </w:pPr>
      <w:r>
        <w:rPr>
          <w:sz w:val="18"/>
          <w:szCs w:val="18"/>
        </w:rPr>
        <w:t>As part of this review the cost of capital and the risks associated with each class of capital are considered.</w:t>
      </w:r>
    </w:p>
    <w:p w14:paraId="1541B790" w14:textId="03706891" w:rsidR="00926896" w:rsidRDefault="00926896" w:rsidP="00926896">
      <w:pPr>
        <w:spacing w:before="120" w:after="120"/>
        <w:jc w:val="both"/>
        <w:rPr>
          <w:sz w:val="18"/>
          <w:szCs w:val="18"/>
        </w:rPr>
      </w:pPr>
      <w:r>
        <w:rPr>
          <w:sz w:val="18"/>
          <w:szCs w:val="18"/>
        </w:rPr>
        <w:t xml:space="preserve">Based on requirement by The Ministry of Finance of the Republic of Azerbaijan insurance companies should maintained capital for minimum amount of </w:t>
      </w:r>
      <w:r w:rsidR="00E60CEA">
        <w:rPr>
          <w:sz w:val="18"/>
          <w:szCs w:val="18"/>
        </w:rPr>
        <w:t>AZN 5,000,000 and maximum of 30% of the cash in one bank. The Company meets both requirements. Other than that, the Company is not subject to any externally imposed capital requirements.</w:t>
      </w:r>
    </w:p>
    <w:p w14:paraId="0A68279E" w14:textId="5450FD5B" w:rsidR="00E60CEA" w:rsidRDefault="00E60CEA" w:rsidP="00E60CEA">
      <w:pPr>
        <w:spacing w:before="120" w:after="120"/>
        <w:jc w:val="both"/>
        <w:rPr>
          <w:sz w:val="18"/>
          <w:szCs w:val="18"/>
        </w:rPr>
      </w:pPr>
      <w:r>
        <w:rPr>
          <w:sz w:val="18"/>
          <w:szCs w:val="18"/>
        </w:rPr>
        <w:t xml:space="preserve">The shareholder’s overall strategy remains </w:t>
      </w:r>
      <w:proofErr w:type="spellStart"/>
      <w:r>
        <w:rPr>
          <w:sz w:val="18"/>
          <w:szCs w:val="18"/>
        </w:rPr>
        <w:t>uncharged</w:t>
      </w:r>
      <w:proofErr w:type="spellEnd"/>
      <w:r>
        <w:rPr>
          <w:sz w:val="18"/>
          <w:szCs w:val="18"/>
        </w:rPr>
        <w:t xml:space="preserve"> as per 31 December 2019 and 2018.</w:t>
      </w:r>
    </w:p>
    <w:p w14:paraId="421476D5" w14:textId="77777777" w:rsidR="00E60CEA" w:rsidRDefault="00E60CEA" w:rsidP="00926896">
      <w:pPr>
        <w:spacing w:before="120" w:after="120"/>
        <w:jc w:val="both"/>
        <w:rPr>
          <w:sz w:val="18"/>
          <w:szCs w:val="18"/>
        </w:rPr>
      </w:pPr>
    </w:p>
    <w:p w14:paraId="5F2D80CB" w14:textId="17AE43CB" w:rsidR="00926896" w:rsidRDefault="00926896" w:rsidP="00E60CEA">
      <w:pPr>
        <w:pStyle w:val="ListParagraph"/>
        <w:numPr>
          <w:ilvl w:val="0"/>
          <w:numId w:val="1"/>
        </w:numPr>
        <w:spacing w:before="240" w:after="120"/>
        <w:ind w:left="357" w:hanging="357"/>
        <w:contextualSpacing w:val="0"/>
        <w:jc w:val="both"/>
        <w:outlineLvl w:val="0"/>
        <w:rPr>
          <w:b/>
          <w:bCs/>
          <w:sz w:val="18"/>
          <w:szCs w:val="18"/>
        </w:rPr>
      </w:pPr>
      <w:bookmarkStart w:id="71" w:name="_Toc57894915"/>
      <w:r w:rsidRPr="00E60CEA">
        <w:rPr>
          <w:b/>
          <w:bCs/>
          <w:sz w:val="18"/>
          <w:szCs w:val="18"/>
        </w:rPr>
        <w:lastRenderedPageBreak/>
        <w:t>Contingent liabilities</w:t>
      </w:r>
      <w:bookmarkEnd w:id="71"/>
    </w:p>
    <w:p w14:paraId="578D9605" w14:textId="77777777" w:rsidR="00E60CEA" w:rsidRPr="00E60CEA" w:rsidRDefault="00E60CEA" w:rsidP="00E60CEA">
      <w:pPr>
        <w:spacing w:before="120" w:after="120"/>
        <w:jc w:val="both"/>
        <w:rPr>
          <w:sz w:val="18"/>
          <w:szCs w:val="18"/>
        </w:rPr>
      </w:pPr>
      <w:r w:rsidRPr="00E60CEA">
        <w:rPr>
          <w:b/>
          <w:bCs/>
          <w:i/>
          <w:iCs/>
          <w:sz w:val="18"/>
          <w:szCs w:val="18"/>
        </w:rPr>
        <w:t>Legal issues.</w:t>
      </w:r>
      <w:r w:rsidRPr="00E60CEA">
        <w:rPr>
          <w:sz w:val="18"/>
          <w:szCs w:val="18"/>
        </w:rPr>
        <w:t xml:space="preserve"> In the ordinary course of business, the Company is subject to legal actions and complaints. Management believes that the ultimate liability arising from such actions or complaints will not have a material adverse effect on the financial condition or the results of future operations of the Company and accordingly no provision has been made as in the management’s opinion the possibility of material losses is low.</w:t>
      </w:r>
    </w:p>
    <w:p w14:paraId="1333559E" w14:textId="0B3EBA2D" w:rsidR="00E60CEA" w:rsidRDefault="00E60CEA" w:rsidP="00E60CEA">
      <w:pPr>
        <w:spacing w:before="120" w:after="120"/>
        <w:jc w:val="both"/>
        <w:rPr>
          <w:sz w:val="18"/>
          <w:szCs w:val="18"/>
        </w:rPr>
      </w:pPr>
      <w:r w:rsidRPr="00E60CEA">
        <w:rPr>
          <w:b/>
          <w:bCs/>
          <w:i/>
          <w:iCs/>
          <w:sz w:val="18"/>
          <w:szCs w:val="18"/>
        </w:rPr>
        <w:t>Tax legislation.</w:t>
      </w:r>
      <w:r w:rsidRPr="00E60CEA">
        <w:rPr>
          <w:sz w:val="18"/>
          <w:szCs w:val="18"/>
        </w:rPr>
        <w:t xml:space="preserve"> </w:t>
      </w:r>
      <w:r>
        <w:rPr>
          <w:sz w:val="18"/>
          <w:szCs w:val="18"/>
        </w:rPr>
        <w:t xml:space="preserve">Commercial legislation of the Republic of Azerbaijan, including tax legislation, may allow more than one interpretation. In addition, there is a risk of tax authorities making arbitrary judgments of business activities. If a </w:t>
      </w:r>
      <w:proofErr w:type="gramStart"/>
      <w:r>
        <w:rPr>
          <w:sz w:val="18"/>
          <w:szCs w:val="18"/>
        </w:rPr>
        <w:t>particular treatment</w:t>
      </w:r>
      <w:proofErr w:type="gramEnd"/>
      <w:r>
        <w:rPr>
          <w:sz w:val="18"/>
          <w:szCs w:val="18"/>
        </w:rPr>
        <w:t>, based on management’s judgement of the Company’s business activities, was to be challenged by the tax authorities, the Company may be assessed additional taxes, penalties and interest.</w:t>
      </w:r>
    </w:p>
    <w:p w14:paraId="0078FE82" w14:textId="43F4F941" w:rsidR="00E60CEA" w:rsidRDefault="00E60CEA" w:rsidP="00E60CEA">
      <w:pPr>
        <w:spacing w:before="120" w:after="120"/>
        <w:jc w:val="both"/>
        <w:rPr>
          <w:sz w:val="18"/>
          <w:szCs w:val="18"/>
          <w:lang w:val="en-US"/>
        </w:rPr>
      </w:pPr>
      <w:r>
        <w:rPr>
          <w:sz w:val="18"/>
          <w:szCs w:val="18"/>
        </w:rPr>
        <w:t>Such uncertainty may relate to the valuation of financial instruments, valuation of provision for impairment losses and the market pricing of deals. Additionally, such uncertainty may relate to the valuation of temporary difference on the provision and recovery of the provision for impairment losses on receivables, as an underestimation</w:t>
      </w:r>
      <w:r w:rsidR="00387DB5" w:rsidRPr="00387DB5">
        <w:rPr>
          <w:sz w:val="18"/>
          <w:szCs w:val="18"/>
        </w:rPr>
        <w:t xml:space="preserve"> </w:t>
      </w:r>
      <w:r w:rsidR="00387DB5">
        <w:rPr>
          <w:sz w:val="18"/>
          <w:szCs w:val="18"/>
          <w:lang w:val="en-US"/>
        </w:rPr>
        <w:t>of the taxable profit. The management of the Company believes that it has accrued all tax amounts due and therefore no allowance has been made in the financial statements.</w:t>
      </w:r>
    </w:p>
    <w:p w14:paraId="7ADCE5C8" w14:textId="3C40E641" w:rsidR="00387DB5" w:rsidRDefault="00387DB5" w:rsidP="00E60CEA">
      <w:pPr>
        <w:spacing w:before="120" w:after="120"/>
        <w:jc w:val="both"/>
        <w:rPr>
          <w:sz w:val="18"/>
          <w:szCs w:val="18"/>
          <w:lang w:val="en-US"/>
        </w:rPr>
      </w:pPr>
      <w:r>
        <w:rPr>
          <w:sz w:val="18"/>
          <w:szCs w:val="18"/>
          <w:lang w:val="en-US"/>
        </w:rPr>
        <w:t xml:space="preserve">Generally, taxpayers are subject to tax audit with respect to three calendar years preceding the year of the audit. However, completed audits do not exclude the possibility of subsequent additional tax audits performed by upper level tax inspectorates reviewing the results of tax audits of their subordinate tax inspectorates. </w:t>
      </w:r>
      <w:proofErr w:type="gramStart"/>
      <w:r>
        <w:rPr>
          <w:sz w:val="18"/>
          <w:szCs w:val="18"/>
          <w:lang w:val="en-US"/>
        </w:rPr>
        <w:t>Also</w:t>
      </w:r>
      <w:proofErr w:type="gramEnd"/>
      <w:r>
        <w:rPr>
          <w:sz w:val="18"/>
          <w:szCs w:val="18"/>
          <w:lang w:val="en-US"/>
        </w:rPr>
        <w:t xml:space="preserve"> according to the current practice, the statute of limitation for tax liabilities may be extended beyond the three-year term set forth in the tax legislation, if a court determines that the taxpayer has obstructed or hindered a tax inspection.</w:t>
      </w:r>
    </w:p>
    <w:p w14:paraId="00A03D02" w14:textId="4BDED34E" w:rsidR="00387DB5" w:rsidRDefault="00387DB5" w:rsidP="00E60CEA">
      <w:pPr>
        <w:spacing w:before="120" w:after="120"/>
        <w:jc w:val="both"/>
        <w:rPr>
          <w:sz w:val="18"/>
          <w:szCs w:val="18"/>
          <w:lang w:val="en-US"/>
        </w:rPr>
      </w:pPr>
      <w:r>
        <w:rPr>
          <w:sz w:val="18"/>
          <w:szCs w:val="18"/>
          <w:lang w:val="en-US"/>
        </w:rPr>
        <w:t>As at 31 December 2019, the management of the Company believes that its interpretation of the relevant legislation is appropriate and the Company’s tax, currency and customs positions will be sustained by controlling bodies.</w:t>
      </w:r>
    </w:p>
    <w:p w14:paraId="3E5D4196" w14:textId="1AA9E0B3" w:rsidR="00387DB5" w:rsidRDefault="00387DB5" w:rsidP="00E60CEA">
      <w:pPr>
        <w:spacing w:before="120" w:after="120"/>
        <w:jc w:val="both"/>
        <w:rPr>
          <w:sz w:val="18"/>
          <w:szCs w:val="18"/>
          <w:lang w:val="en-US"/>
        </w:rPr>
      </w:pPr>
    </w:p>
    <w:p w14:paraId="021DF844" w14:textId="527C6102" w:rsidR="00387DB5" w:rsidRDefault="00387DB5" w:rsidP="00387DB5">
      <w:pPr>
        <w:pStyle w:val="ListParagraph"/>
        <w:numPr>
          <w:ilvl w:val="0"/>
          <w:numId w:val="1"/>
        </w:numPr>
        <w:spacing w:before="240" w:after="120"/>
        <w:ind w:left="357" w:hanging="357"/>
        <w:contextualSpacing w:val="0"/>
        <w:jc w:val="both"/>
        <w:outlineLvl w:val="0"/>
        <w:rPr>
          <w:b/>
          <w:bCs/>
          <w:sz w:val="18"/>
          <w:szCs w:val="18"/>
          <w:lang w:val="en-US"/>
        </w:rPr>
      </w:pPr>
      <w:bookmarkStart w:id="72" w:name="_Toc57894916"/>
      <w:r w:rsidRPr="00387DB5">
        <w:rPr>
          <w:b/>
          <w:bCs/>
          <w:sz w:val="18"/>
          <w:szCs w:val="18"/>
          <w:lang w:val="en-US"/>
        </w:rPr>
        <w:t>Fair value of financial instruments</w:t>
      </w:r>
      <w:bookmarkEnd w:id="72"/>
    </w:p>
    <w:p w14:paraId="3B73257C" w14:textId="77777777" w:rsidR="00200A1E" w:rsidRPr="00EC690A" w:rsidRDefault="00200A1E" w:rsidP="00200A1E">
      <w:pPr>
        <w:autoSpaceDE w:val="0"/>
        <w:autoSpaceDN w:val="0"/>
        <w:adjustRightInd w:val="0"/>
        <w:spacing w:before="120" w:after="120"/>
        <w:jc w:val="both"/>
        <w:rPr>
          <w:sz w:val="18"/>
          <w:szCs w:val="18"/>
        </w:rPr>
      </w:pPr>
      <w:r w:rsidRPr="00EC690A">
        <w:rPr>
          <w:sz w:val="18"/>
          <w:szCs w:val="18"/>
        </w:rPr>
        <w:t xml:space="preserve">The fair value is defined as the amount at which the instrument could be exchanged in a current transaction between knowledgeable willing parties on arm’s length conditions, other than in a forced or liquidation sale. Quoted financial instruments in active markets provide the best evidence of fair value. As no readily available market exists for major part of the Company’s financial instruments, the fair value shall be estimated based on current economic conditions and the specific risks attributable to the instrument. The estimates presented herein are not necessarily indicative of the amounts the Company could realise in a market exchange from the sale of its full holdings of a </w:t>
      </w:r>
      <w:proofErr w:type="gramStart"/>
      <w:r w:rsidRPr="00EC690A">
        <w:rPr>
          <w:sz w:val="18"/>
          <w:szCs w:val="18"/>
        </w:rPr>
        <w:t>particular instrument</w:t>
      </w:r>
      <w:proofErr w:type="gramEnd"/>
      <w:r w:rsidRPr="00EC690A">
        <w:rPr>
          <w:sz w:val="18"/>
          <w:szCs w:val="18"/>
        </w:rPr>
        <w:t>.</w:t>
      </w:r>
    </w:p>
    <w:p w14:paraId="4B71E74E" w14:textId="77777777" w:rsidR="00200A1E" w:rsidRPr="00EC690A" w:rsidRDefault="00200A1E" w:rsidP="00200A1E">
      <w:pPr>
        <w:autoSpaceDE w:val="0"/>
        <w:autoSpaceDN w:val="0"/>
        <w:adjustRightInd w:val="0"/>
        <w:spacing w:before="120" w:after="120"/>
        <w:jc w:val="both"/>
        <w:rPr>
          <w:sz w:val="18"/>
          <w:szCs w:val="18"/>
        </w:rPr>
      </w:pPr>
      <w:r w:rsidRPr="00EC690A">
        <w:rPr>
          <w:sz w:val="18"/>
          <w:szCs w:val="18"/>
        </w:rPr>
        <w:t>Management believes that carrying values of the Company’s financial assets and liabilities approximate their fair values.</w:t>
      </w:r>
    </w:p>
    <w:p w14:paraId="6BC36C55" w14:textId="77777777" w:rsidR="00200A1E" w:rsidRPr="00EC690A" w:rsidRDefault="00200A1E" w:rsidP="00200A1E">
      <w:pPr>
        <w:autoSpaceDE w:val="0"/>
        <w:autoSpaceDN w:val="0"/>
        <w:adjustRightInd w:val="0"/>
        <w:spacing w:before="120" w:after="120"/>
        <w:jc w:val="both"/>
        <w:rPr>
          <w:sz w:val="18"/>
          <w:szCs w:val="18"/>
        </w:rPr>
      </w:pPr>
      <w:r w:rsidRPr="00EC690A">
        <w:rPr>
          <w:sz w:val="18"/>
          <w:szCs w:val="18"/>
        </w:rPr>
        <w:t>The Company uses the following methods and assumptions to estimate the fair value of the following financial instruments:</w:t>
      </w:r>
    </w:p>
    <w:p w14:paraId="431FE048" w14:textId="04AC4450" w:rsidR="00200A1E" w:rsidRPr="00EC690A" w:rsidRDefault="00200A1E" w:rsidP="00200A1E">
      <w:pPr>
        <w:autoSpaceDE w:val="0"/>
        <w:autoSpaceDN w:val="0"/>
        <w:adjustRightInd w:val="0"/>
        <w:spacing w:before="120" w:after="120"/>
        <w:jc w:val="both"/>
        <w:rPr>
          <w:sz w:val="18"/>
          <w:szCs w:val="18"/>
        </w:rPr>
      </w:pPr>
      <w:r>
        <w:rPr>
          <w:rFonts w:cs="Garamond"/>
          <w:b/>
          <w:bCs/>
          <w:i/>
          <w:iCs/>
          <w:sz w:val="18"/>
          <w:szCs w:val="18"/>
        </w:rPr>
        <w:t>Insurance</w:t>
      </w:r>
      <w:r w:rsidRPr="00EC690A">
        <w:rPr>
          <w:rFonts w:cs="Garamond"/>
          <w:b/>
          <w:bCs/>
          <w:i/>
          <w:iCs/>
          <w:sz w:val="18"/>
          <w:szCs w:val="18"/>
        </w:rPr>
        <w:t xml:space="preserve"> receivable</w:t>
      </w:r>
      <w:r>
        <w:rPr>
          <w:rFonts w:cs="Garamond"/>
          <w:b/>
          <w:bCs/>
          <w:i/>
          <w:iCs/>
          <w:sz w:val="18"/>
          <w:szCs w:val="18"/>
        </w:rPr>
        <w:t>s</w:t>
      </w:r>
      <w:r w:rsidRPr="00EC690A">
        <w:rPr>
          <w:rFonts w:cs="Garamond"/>
          <w:b/>
          <w:bCs/>
          <w:i/>
          <w:iCs/>
          <w:sz w:val="18"/>
          <w:szCs w:val="18"/>
        </w:rPr>
        <w:t xml:space="preserve">. </w:t>
      </w:r>
      <w:r>
        <w:rPr>
          <w:rFonts w:cs="Garamond"/>
          <w:sz w:val="18"/>
          <w:szCs w:val="18"/>
        </w:rPr>
        <w:t>Insurance</w:t>
      </w:r>
      <w:r w:rsidRPr="00EC690A">
        <w:rPr>
          <w:rFonts w:cs="Garamond"/>
          <w:sz w:val="18"/>
          <w:szCs w:val="18"/>
        </w:rPr>
        <w:t xml:space="preserve"> receivable</w:t>
      </w:r>
      <w:r>
        <w:rPr>
          <w:rFonts w:cs="Garamond"/>
          <w:sz w:val="18"/>
          <w:szCs w:val="18"/>
        </w:rPr>
        <w:t>s</w:t>
      </w:r>
      <w:r w:rsidRPr="00EC690A">
        <w:rPr>
          <w:rFonts w:cs="Garamond"/>
          <w:sz w:val="18"/>
          <w:szCs w:val="18"/>
        </w:rPr>
        <w:t xml:space="preserve"> </w:t>
      </w:r>
      <w:r w:rsidRPr="00EC690A">
        <w:rPr>
          <w:rFonts w:cs="Garamond"/>
          <w:bCs/>
          <w:iCs/>
          <w:sz w:val="18"/>
          <w:szCs w:val="18"/>
        </w:rPr>
        <w:t xml:space="preserve">are recorded net of impairment provision. Provision for impairment is estimated </w:t>
      </w:r>
      <w:proofErr w:type="gramStart"/>
      <w:r w:rsidRPr="00EC690A">
        <w:rPr>
          <w:rFonts w:cs="Garamond"/>
          <w:bCs/>
          <w:iCs/>
          <w:sz w:val="18"/>
          <w:szCs w:val="18"/>
        </w:rPr>
        <w:t>on the basis of</w:t>
      </w:r>
      <w:proofErr w:type="gramEnd"/>
      <w:r w:rsidRPr="00EC690A">
        <w:rPr>
          <w:rFonts w:cs="Garamond"/>
          <w:bCs/>
          <w:iCs/>
          <w:sz w:val="18"/>
          <w:szCs w:val="18"/>
        </w:rPr>
        <w:t xml:space="preserve"> risk analysis covering such factors as current economic situation in the debtor’s industry, the financial position of a debtor and the guarantees received. </w:t>
      </w:r>
      <w:r w:rsidRPr="00EC690A">
        <w:rPr>
          <w:sz w:val="18"/>
          <w:szCs w:val="18"/>
        </w:rPr>
        <w:t xml:space="preserve">Long-term </w:t>
      </w:r>
      <w:r w:rsidRPr="00EC690A">
        <w:rPr>
          <w:rFonts w:cs="Garamond"/>
          <w:sz w:val="18"/>
          <w:szCs w:val="18"/>
        </w:rPr>
        <w:t>receivable</w:t>
      </w:r>
      <w:r>
        <w:rPr>
          <w:rFonts w:cs="Garamond"/>
          <w:sz w:val="18"/>
          <w:szCs w:val="18"/>
        </w:rPr>
        <w:t>s</w:t>
      </w:r>
      <w:r w:rsidRPr="00EC690A">
        <w:rPr>
          <w:sz w:val="18"/>
          <w:szCs w:val="18"/>
        </w:rPr>
        <w:t xml:space="preserve"> are carried at amortised cost using the discount rate approximating current market rates.</w:t>
      </w:r>
    </w:p>
    <w:p w14:paraId="38EBF71C" w14:textId="016F7621" w:rsidR="00200A1E" w:rsidRPr="00EC690A" w:rsidRDefault="00200A1E" w:rsidP="00200A1E">
      <w:pPr>
        <w:autoSpaceDE w:val="0"/>
        <w:autoSpaceDN w:val="0"/>
        <w:spacing w:before="120" w:after="120"/>
        <w:jc w:val="both"/>
        <w:rPr>
          <w:sz w:val="18"/>
          <w:szCs w:val="18"/>
        </w:rPr>
      </w:pPr>
      <w:bookmarkStart w:id="73" w:name="_Toc288066204"/>
      <w:bookmarkStart w:id="74" w:name="_Toc288066263"/>
      <w:bookmarkStart w:id="75" w:name="_Toc288066313"/>
      <w:bookmarkStart w:id="76" w:name="_Toc288066339"/>
      <w:bookmarkStart w:id="77" w:name="_Toc288066377"/>
      <w:bookmarkStart w:id="78" w:name="_Toc288066443"/>
      <w:bookmarkStart w:id="79" w:name="_Toc288067304"/>
      <w:bookmarkStart w:id="80" w:name="_Toc288067424"/>
      <w:bookmarkStart w:id="81" w:name="_Toc288067496"/>
      <w:bookmarkStart w:id="82" w:name="_Toc288067522"/>
      <w:bookmarkStart w:id="83" w:name="_Toc288067548"/>
      <w:bookmarkStart w:id="84" w:name="_Toc288067690"/>
      <w:bookmarkStart w:id="85" w:name="_Toc288067727"/>
      <w:bookmarkStart w:id="86" w:name="_Toc288067801"/>
      <w:bookmarkStart w:id="87" w:name="_Toc288145403"/>
      <w:bookmarkStart w:id="88" w:name="_Toc287789322"/>
      <w:bookmarkStart w:id="89" w:name="_Toc287869914"/>
      <w:bookmarkStart w:id="90" w:name="_Toc287869966"/>
      <w:bookmarkStart w:id="91" w:name="_Toc287870000"/>
      <w:bookmarkStart w:id="92" w:name="_Toc287870039"/>
      <w:bookmarkStart w:id="93" w:name="_Toc287870077"/>
      <w:bookmarkStart w:id="94" w:name="_Toc287870135"/>
      <w:bookmarkStart w:id="95" w:name="_Toc287870167"/>
      <w:bookmarkStart w:id="96" w:name="_Toc28787979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b/>
          <w:bCs/>
          <w:i/>
          <w:iCs/>
          <w:sz w:val="18"/>
          <w:szCs w:val="18"/>
        </w:rPr>
        <w:t>Insurance</w:t>
      </w:r>
      <w:r w:rsidRPr="00EC690A">
        <w:rPr>
          <w:b/>
          <w:bCs/>
          <w:i/>
          <w:iCs/>
          <w:sz w:val="18"/>
          <w:szCs w:val="18"/>
        </w:rPr>
        <w:t xml:space="preserve"> payable</w:t>
      </w:r>
      <w:r>
        <w:rPr>
          <w:b/>
          <w:bCs/>
          <w:i/>
          <w:iCs/>
          <w:sz w:val="18"/>
          <w:szCs w:val="18"/>
        </w:rPr>
        <w:t>s</w:t>
      </w:r>
      <w:r w:rsidRPr="00EC690A">
        <w:rPr>
          <w:b/>
          <w:bCs/>
          <w:i/>
          <w:iCs/>
          <w:sz w:val="18"/>
          <w:szCs w:val="18"/>
        </w:rPr>
        <w:t xml:space="preserve">. </w:t>
      </w:r>
      <w:r w:rsidRPr="00EC690A">
        <w:rPr>
          <w:sz w:val="18"/>
          <w:szCs w:val="18"/>
        </w:rPr>
        <w:t>Short-term payables are stated at the nominal amount due. Long-term payables are measured at amortised cost using the discount rate that is equal to market interest rate on loans used for similar debt financing. The fair value of cash and other financial assets and liabilities approximates their carrying amount due to their short-term nature.</w:t>
      </w:r>
    </w:p>
    <w:p w14:paraId="524B261D" w14:textId="2C138CD5" w:rsidR="00387DB5" w:rsidRDefault="00387DB5" w:rsidP="00387DB5">
      <w:pPr>
        <w:spacing w:before="120" w:after="120"/>
        <w:jc w:val="both"/>
        <w:rPr>
          <w:sz w:val="18"/>
          <w:szCs w:val="18"/>
        </w:rPr>
      </w:pPr>
    </w:p>
    <w:p w14:paraId="7E552A6A" w14:textId="2B04B182" w:rsidR="00200A1E" w:rsidRDefault="00200A1E" w:rsidP="00200A1E">
      <w:pPr>
        <w:pStyle w:val="ListParagraph"/>
        <w:numPr>
          <w:ilvl w:val="0"/>
          <w:numId w:val="1"/>
        </w:numPr>
        <w:spacing w:before="240" w:after="120"/>
        <w:ind w:left="357" w:hanging="357"/>
        <w:contextualSpacing w:val="0"/>
        <w:jc w:val="both"/>
        <w:outlineLvl w:val="0"/>
        <w:rPr>
          <w:b/>
          <w:bCs/>
          <w:sz w:val="18"/>
          <w:szCs w:val="18"/>
        </w:rPr>
      </w:pPr>
      <w:bookmarkStart w:id="97" w:name="_Toc57894917"/>
      <w:r w:rsidRPr="00200A1E">
        <w:rPr>
          <w:b/>
          <w:bCs/>
          <w:sz w:val="18"/>
          <w:szCs w:val="18"/>
        </w:rPr>
        <w:t>Related party transactions</w:t>
      </w:r>
      <w:bookmarkEnd w:id="97"/>
    </w:p>
    <w:p w14:paraId="0DF806EE" w14:textId="77777777" w:rsidR="00200A1E" w:rsidRPr="00200A1E" w:rsidRDefault="00200A1E" w:rsidP="00200A1E">
      <w:pPr>
        <w:autoSpaceDE w:val="0"/>
        <w:autoSpaceDN w:val="0"/>
        <w:adjustRightInd w:val="0"/>
        <w:spacing w:before="120"/>
        <w:jc w:val="both"/>
        <w:rPr>
          <w:rFonts w:cs="Courier New"/>
          <w:sz w:val="18"/>
          <w:szCs w:val="18"/>
        </w:rPr>
      </w:pPr>
      <w:r w:rsidRPr="00200A1E">
        <w:rPr>
          <w:rFonts w:cs="Courier New"/>
          <w:sz w:val="18"/>
          <w:szCs w:val="18"/>
        </w:rPr>
        <w:t xml:space="preserve">For the purposes of these financial statements, parties </w:t>
      </w:r>
      <w:proofErr w:type="gramStart"/>
      <w:r w:rsidRPr="00200A1E">
        <w:rPr>
          <w:rFonts w:cs="Courier New"/>
          <w:sz w:val="18"/>
          <w:szCs w:val="18"/>
        </w:rPr>
        <w:t>are considered to be</w:t>
      </w:r>
      <w:proofErr w:type="gramEnd"/>
      <w:r w:rsidRPr="00200A1E">
        <w:rPr>
          <w:rFonts w:cs="Courier New"/>
          <w:sz w:val="18"/>
          <w:szCs w:val="18"/>
        </w:rPr>
        <w:t xml:space="preserve"> related if one party has the ability to control or exercise significant influence over the other party in making financial or operational decisions as defined by IAS 24 “Related Party Disclosures”. In considering each possible related party relationship, attention is directed to the economic substance of the relationship, not merely the legal form.</w:t>
      </w:r>
    </w:p>
    <w:p w14:paraId="7F2E8544" w14:textId="77777777" w:rsidR="00200A1E" w:rsidRPr="00200A1E" w:rsidRDefault="00200A1E" w:rsidP="00200A1E">
      <w:pPr>
        <w:spacing w:before="120"/>
        <w:jc w:val="both"/>
        <w:rPr>
          <w:sz w:val="18"/>
          <w:szCs w:val="18"/>
        </w:rPr>
      </w:pPr>
      <w:r w:rsidRPr="00200A1E">
        <w:rPr>
          <w:rFonts w:cs="Courier New"/>
          <w:sz w:val="18"/>
          <w:szCs w:val="18"/>
        </w:rPr>
        <w:t xml:space="preserve">In the normal course of </w:t>
      </w:r>
      <w:proofErr w:type="gramStart"/>
      <w:r w:rsidRPr="00200A1E">
        <w:rPr>
          <w:rFonts w:cs="Courier New"/>
          <w:sz w:val="18"/>
          <w:szCs w:val="18"/>
        </w:rPr>
        <w:t>business</w:t>
      </w:r>
      <w:proofErr w:type="gramEnd"/>
      <w:r w:rsidRPr="00200A1E">
        <w:rPr>
          <w:rFonts w:cs="Courier New"/>
          <w:sz w:val="18"/>
          <w:szCs w:val="18"/>
        </w:rPr>
        <w:t xml:space="preserve"> the Company enters into transactions with its major shareholders, directors, </w:t>
      </w:r>
      <w:r w:rsidRPr="00200A1E">
        <w:rPr>
          <w:sz w:val="18"/>
          <w:szCs w:val="18"/>
        </w:rPr>
        <w:t>subsidiaries</w:t>
      </w:r>
      <w:r w:rsidRPr="00200A1E">
        <w:rPr>
          <w:rFonts w:cs="Courier New"/>
          <w:sz w:val="18"/>
          <w:szCs w:val="18"/>
        </w:rPr>
        <w:t xml:space="preserve"> and other related parties. These transactions include settlements, issuance of loans, deposit taking, guarantees, trade finance and foreign currency transactions.</w:t>
      </w:r>
    </w:p>
    <w:p w14:paraId="36BB8A60" w14:textId="1B13C99B" w:rsidR="00200A1E" w:rsidRPr="00200A1E" w:rsidRDefault="00200A1E" w:rsidP="00200A1E">
      <w:pPr>
        <w:spacing w:before="120"/>
        <w:jc w:val="both"/>
        <w:rPr>
          <w:sz w:val="18"/>
          <w:szCs w:val="18"/>
        </w:rPr>
      </w:pPr>
      <w:r w:rsidRPr="00200A1E">
        <w:rPr>
          <w:sz w:val="18"/>
          <w:szCs w:val="18"/>
        </w:rPr>
        <w:lastRenderedPageBreak/>
        <w:t>The outstanding balances at the year end and asset transactions with related parties as of 31 December 201</w:t>
      </w:r>
      <w:r>
        <w:rPr>
          <w:sz w:val="18"/>
          <w:szCs w:val="18"/>
        </w:rPr>
        <w:t>9</w:t>
      </w:r>
      <w:r w:rsidRPr="00200A1E">
        <w:rPr>
          <w:sz w:val="18"/>
          <w:szCs w:val="18"/>
        </w:rPr>
        <w:t xml:space="preserve"> and 201</w:t>
      </w:r>
      <w:r>
        <w:rPr>
          <w:sz w:val="18"/>
          <w:szCs w:val="18"/>
        </w:rPr>
        <w:t>8</w:t>
      </w:r>
      <w:r w:rsidRPr="00200A1E">
        <w:rPr>
          <w:sz w:val="18"/>
          <w:szCs w:val="18"/>
        </w:rPr>
        <w:t xml:space="preserve"> were as follows:</w:t>
      </w:r>
    </w:p>
    <w:tbl>
      <w:tblPr>
        <w:tblW w:w="5014" w:type="pct"/>
        <w:tblLayout w:type="fixed"/>
        <w:tblLook w:val="04A0" w:firstRow="1" w:lastRow="0" w:firstColumn="1" w:lastColumn="0" w:noHBand="0" w:noVBand="1"/>
      </w:tblPr>
      <w:tblGrid>
        <w:gridCol w:w="3402"/>
        <w:gridCol w:w="1419"/>
        <w:gridCol w:w="1275"/>
        <w:gridCol w:w="1419"/>
        <w:gridCol w:w="1275"/>
      </w:tblGrid>
      <w:tr w:rsidR="00200A1E" w:rsidRPr="00EC690A" w14:paraId="0F60095C" w14:textId="77777777" w:rsidTr="0078286B">
        <w:trPr>
          <w:trHeight w:val="300"/>
        </w:trPr>
        <w:tc>
          <w:tcPr>
            <w:tcW w:w="1935" w:type="pct"/>
            <w:tcBorders>
              <w:top w:val="nil"/>
              <w:left w:val="nil"/>
              <w:bottom w:val="nil"/>
              <w:right w:val="nil"/>
            </w:tcBorders>
            <w:shd w:val="clear" w:color="auto" w:fill="auto"/>
            <w:noWrap/>
            <w:vAlign w:val="bottom"/>
            <w:hideMark/>
          </w:tcPr>
          <w:p w14:paraId="53B84457" w14:textId="77777777" w:rsidR="00200A1E" w:rsidRPr="00EC690A" w:rsidRDefault="00200A1E" w:rsidP="007B48D5">
            <w:pPr>
              <w:rPr>
                <w:color w:val="000000"/>
                <w:sz w:val="18"/>
                <w:szCs w:val="18"/>
                <w:lang w:eastAsia="en-GB"/>
              </w:rPr>
            </w:pPr>
          </w:p>
        </w:tc>
        <w:tc>
          <w:tcPr>
            <w:tcW w:w="807" w:type="pct"/>
            <w:tcBorders>
              <w:top w:val="nil"/>
              <w:left w:val="nil"/>
              <w:bottom w:val="single" w:sz="4" w:space="0" w:color="auto"/>
              <w:right w:val="nil"/>
            </w:tcBorders>
            <w:shd w:val="clear" w:color="auto" w:fill="auto"/>
            <w:vAlign w:val="bottom"/>
            <w:hideMark/>
          </w:tcPr>
          <w:p w14:paraId="5F2291AC" w14:textId="77777777" w:rsidR="00200A1E" w:rsidRPr="00EC690A" w:rsidRDefault="00200A1E" w:rsidP="007B48D5">
            <w:pPr>
              <w:jc w:val="right"/>
              <w:rPr>
                <w:b/>
                <w:bCs/>
                <w:color w:val="000000"/>
                <w:sz w:val="18"/>
                <w:szCs w:val="18"/>
                <w:lang w:eastAsia="en-GB"/>
              </w:rPr>
            </w:pPr>
            <w:r w:rsidRPr="00EC690A">
              <w:rPr>
                <w:b/>
                <w:bCs/>
                <w:color w:val="000000"/>
                <w:sz w:val="18"/>
                <w:szCs w:val="18"/>
                <w:lang w:eastAsia="en-GB"/>
              </w:rPr>
              <w:t> </w:t>
            </w:r>
          </w:p>
        </w:tc>
        <w:tc>
          <w:tcPr>
            <w:tcW w:w="725" w:type="pct"/>
            <w:tcBorders>
              <w:top w:val="nil"/>
              <w:left w:val="nil"/>
              <w:bottom w:val="single" w:sz="4" w:space="0" w:color="auto"/>
              <w:right w:val="nil"/>
            </w:tcBorders>
            <w:shd w:val="clear" w:color="auto" w:fill="auto"/>
            <w:vAlign w:val="bottom"/>
            <w:hideMark/>
          </w:tcPr>
          <w:p w14:paraId="4C3B6C0B" w14:textId="34B6A8C0" w:rsidR="00200A1E" w:rsidRPr="00EC690A" w:rsidRDefault="00200A1E" w:rsidP="007B48D5">
            <w:pPr>
              <w:jc w:val="right"/>
              <w:rPr>
                <w:b/>
                <w:bCs/>
                <w:color w:val="000000"/>
                <w:sz w:val="18"/>
                <w:szCs w:val="18"/>
                <w:lang w:eastAsia="en-GB"/>
              </w:rPr>
            </w:pPr>
            <w:r w:rsidRPr="00EC690A">
              <w:rPr>
                <w:b/>
                <w:bCs/>
                <w:color w:val="000000"/>
                <w:sz w:val="18"/>
                <w:szCs w:val="18"/>
                <w:lang w:eastAsia="en-GB"/>
              </w:rPr>
              <w:t>201</w:t>
            </w:r>
            <w:r>
              <w:rPr>
                <w:b/>
                <w:bCs/>
                <w:color w:val="000000"/>
                <w:sz w:val="18"/>
                <w:szCs w:val="18"/>
                <w:lang w:eastAsia="en-GB"/>
              </w:rPr>
              <w:t>9</w:t>
            </w:r>
          </w:p>
        </w:tc>
        <w:tc>
          <w:tcPr>
            <w:tcW w:w="807" w:type="pct"/>
            <w:tcBorders>
              <w:top w:val="nil"/>
              <w:left w:val="nil"/>
              <w:bottom w:val="single" w:sz="4" w:space="0" w:color="auto"/>
              <w:right w:val="nil"/>
            </w:tcBorders>
            <w:shd w:val="clear" w:color="auto" w:fill="auto"/>
            <w:vAlign w:val="bottom"/>
            <w:hideMark/>
          </w:tcPr>
          <w:p w14:paraId="1EACC5CE" w14:textId="77777777" w:rsidR="00200A1E" w:rsidRPr="00783BA0" w:rsidRDefault="00200A1E" w:rsidP="007B48D5">
            <w:pPr>
              <w:jc w:val="right"/>
              <w:rPr>
                <w:color w:val="000000"/>
                <w:sz w:val="18"/>
                <w:szCs w:val="18"/>
                <w:lang w:eastAsia="en-GB"/>
              </w:rPr>
            </w:pPr>
            <w:r w:rsidRPr="00783BA0">
              <w:rPr>
                <w:color w:val="000000"/>
                <w:sz w:val="18"/>
                <w:szCs w:val="18"/>
                <w:lang w:eastAsia="en-GB"/>
              </w:rPr>
              <w:t> </w:t>
            </w:r>
          </w:p>
        </w:tc>
        <w:tc>
          <w:tcPr>
            <w:tcW w:w="725" w:type="pct"/>
            <w:tcBorders>
              <w:top w:val="nil"/>
              <w:left w:val="nil"/>
              <w:bottom w:val="single" w:sz="4" w:space="0" w:color="auto"/>
              <w:right w:val="nil"/>
            </w:tcBorders>
            <w:shd w:val="clear" w:color="auto" w:fill="auto"/>
            <w:vAlign w:val="bottom"/>
            <w:hideMark/>
          </w:tcPr>
          <w:p w14:paraId="652D2136" w14:textId="6B34C600" w:rsidR="00200A1E" w:rsidRPr="00783BA0" w:rsidRDefault="00200A1E" w:rsidP="007B48D5">
            <w:pPr>
              <w:jc w:val="right"/>
              <w:rPr>
                <w:color w:val="000000"/>
                <w:sz w:val="18"/>
                <w:szCs w:val="18"/>
                <w:lang w:eastAsia="en-GB"/>
              </w:rPr>
            </w:pPr>
            <w:r w:rsidRPr="00783BA0">
              <w:rPr>
                <w:color w:val="000000"/>
                <w:sz w:val="18"/>
                <w:szCs w:val="18"/>
                <w:lang w:eastAsia="en-GB"/>
              </w:rPr>
              <w:t>2018</w:t>
            </w:r>
          </w:p>
        </w:tc>
      </w:tr>
      <w:tr w:rsidR="00200A1E" w:rsidRPr="00EC690A" w14:paraId="56D2D91F" w14:textId="77777777" w:rsidTr="0078286B">
        <w:trPr>
          <w:trHeight w:val="600"/>
        </w:trPr>
        <w:tc>
          <w:tcPr>
            <w:tcW w:w="1935" w:type="pct"/>
            <w:tcBorders>
              <w:top w:val="nil"/>
              <w:left w:val="nil"/>
              <w:bottom w:val="single" w:sz="4" w:space="0" w:color="auto"/>
              <w:right w:val="nil"/>
            </w:tcBorders>
            <w:shd w:val="clear" w:color="auto" w:fill="auto"/>
            <w:noWrap/>
            <w:vAlign w:val="bottom"/>
            <w:hideMark/>
          </w:tcPr>
          <w:p w14:paraId="7253C1BF" w14:textId="77777777" w:rsidR="00200A1E" w:rsidRPr="00EC690A" w:rsidRDefault="00200A1E" w:rsidP="007B48D5">
            <w:pPr>
              <w:rPr>
                <w:color w:val="000000"/>
                <w:sz w:val="18"/>
                <w:szCs w:val="18"/>
                <w:lang w:eastAsia="en-GB"/>
              </w:rPr>
            </w:pPr>
            <w:r w:rsidRPr="00EC690A">
              <w:rPr>
                <w:color w:val="000000"/>
                <w:sz w:val="18"/>
                <w:szCs w:val="18"/>
                <w:lang w:eastAsia="en-GB"/>
              </w:rPr>
              <w:t> </w:t>
            </w:r>
          </w:p>
        </w:tc>
        <w:tc>
          <w:tcPr>
            <w:tcW w:w="807" w:type="pct"/>
            <w:tcBorders>
              <w:top w:val="nil"/>
              <w:left w:val="nil"/>
              <w:bottom w:val="single" w:sz="4" w:space="0" w:color="auto"/>
              <w:right w:val="nil"/>
            </w:tcBorders>
            <w:shd w:val="clear" w:color="auto" w:fill="auto"/>
            <w:vAlign w:val="bottom"/>
            <w:hideMark/>
          </w:tcPr>
          <w:p w14:paraId="123CA67D" w14:textId="77777777" w:rsidR="00200A1E" w:rsidRPr="00EC690A" w:rsidRDefault="00200A1E" w:rsidP="007B48D5">
            <w:pPr>
              <w:jc w:val="right"/>
              <w:rPr>
                <w:b/>
                <w:bCs/>
                <w:color w:val="000000"/>
                <w:sz w:val="18"/>
                <w:szCs w:val="18"/>
                <w:lang w:eastAsia="en-GB"/>
              </w:rPr>
            </w:pPr>
            <w:r w:rsidRPr="00EC690A">
              <w:rPr>
                <w:b/>
                <w:bCs/>
                <w:color w:val="000000"/>
                <w:sz w:val="18"/>
                <w:szCs w:val="18"/>
                <w:lang w:eastAsia="en-GB"/>
              </w:rPr>
              <w:t>Related party transactions</w:t>
            </w:r>
          </w:p>
        </w:tc>
        <w:tc>
          <w:tcPr>
            <w:tcW w:w="725" w:type="pct"/>
            <w:tcBorders>
              <w:top w:val="nil"/>
              <w:left w:val="nil"/>
              <w:bottom w:val="single" w:sz="4" w:space="0" w:color="auto"/>
              <w:right w:val="nil"/>
            </w:tcBorders>
            <w:shd w:val="clear" w:color="auto" w:fill="auto"/>
            <w:vAlign w:val="bottom"/>
            <w:hideMark/>
          </w:tcPr>
          <w:p w14:paraId="3BCBC4AE" w14:textId="77777777" w:rsidR="00200A1E" w:rsidRPr="00EC690A" w:rsidRDefault="00200A1E" w:rsidP="007B48D5">
            <w:pPr>
              <w:jc w:val="right"/>
              <w:rPr>
                <w:b/>
                <w:bCs/>
                <w:color w:val="000000"/>
                <w:sz w:val="18"/>
                <w:szCs w:val="18"/>
                <w:lang w:eastAsia="en-GB"/>
              </w:rPr>
            </w:pPr>
            <w:r w:rsidRPr="00EC690A">
              <w:rPr>
                <w:b/>
                <w:bCs/>
                <w:color w:val="000000"/>
                <w:sz w:val="18"/>
                <w:szCs w:val="18"/>
                <w:lang w:eastAsia="en-GB"/>
              </w:rPr>
              <w:t>Total category</w:t>
            </w:r>
          </w:p>
        </w:tc>
        <w:tc>
          <w:tcPr>
            <w:tcW w:w="807" w:type="pct"/>
            <w:tcBorders>
              <w:top w:val="nil"/>
              <w:left w:val="nil"/>
              <w:bottom w:val="single" w:sz="4" w:space="0" w:color="auto"/>
              <w:right w:val="nil"/>
            </w:tcBorders>
            <w:shd w:val="clear" w:color="auto" w:fill="auto"/>
            <w:vAlign w:val="bottom"/>
            <w:hideMark/>
          </w:tcPr>
          <w:p w14:paraId="134514B1" w14:textId="77777777" w:rsidR="00200A1E" w:rsidRPr="00783BA0" w:rsidRDefault="00200A1E" w:rsidP="007B48D5">
            <w:pPr>
              <w:jc w:val="right"/>
              <w:rPr>
                <w:color w:val="000000"/>
                <w:sz w:val="18"/>
                <w:szCs w:val="18"/>
                <w:lang w:eastAsia="en-GB"/>
              </w:rPr>
            </w:pPr>
            <w:r w:rsidRPr="00783BA0">
              <w:rPr>
                <w:color w:val="000000"/>
                <w:sz w:val="18"/>
                <w:szCs w:val="18"/>
                <w:lang w:eastAsia="en-GB"/>
              </w:rPr>
              <w:t>Related party transactions</w:t>
            </w:r>
          </w:p>
        </w:tc>
        <w:tc>
          <w:tcPr>
            <w:tcW w:w="725" w:type="pct"/>
            <w:tcBorders>
              <w:top w:val="nil"/>
              <w:left w:val="nil"/>
              <w:bottom w:val="single" w:sz="4" w:space="0" w:color="auto"/>
              <w:right w:val="nil"/>
            </w:tcBorders>
            <w:shd w:val="clear" w:color="auto" w:fill="auto"/>
            <w:vAlign w:val="bottom"/>
            <w:hideMark/>
          </w:tcPr>
          <w:p w14:paraId="5C3776BB" w14:textId="77777777" w:rsidR="00200A1E" w:rsidRPr="00783BA0" w:rsidRDefault="00200A1E" w:rsidP="007B48D5">
            <w:pPr>
              <w:jc w:val="right"/>
              <w:rPr>
                <w:color w:val="000000"/>
                <w:sz w:val="18"/>
                <w:szCs w:val="18"/>
                <w:lang w:eastAsia="en-GB"/>
              </w:rPr>
            </w:pPr>
            <w:r w:rsidRPr="00783BA0">
              <w:rPr>
                <w:color w:val="000000"/>
                <w:sz w:val="18"/>
                <w:szCs w:val="18"/>
                <w:lang w:eastAsia="en-GB"/>
              </w:rPr>
              <w:t>Total category</w:t>
            </w:r>
          </w:p>
        </w:tc>
      </w:tr>
      <w:tr w:rsidR="00200A1E" w:rsidRPr="00EC690A" w14:paraId="43A50970" w14:textId="77777777" w:rsidTr="0078286B">
        <w:trPr>
          <w:trHeight w:val="300"/>
        </w:trPr>
        <w:tc>
          <w:tcPr>
            <w:tcW w:w="1935" w:type="pct"/>
            <w:tcBorders>
              <w:top w:val="nil"/>
              <w:left w:val="nil"/>
              <w:bottom w:val="nil"/>
              <w:right w:val="nil"/>
            </w:tcBorders>
            <w:shd w:val="clear" w:color="auto" w:fill="auto"/>
            <w:noWrap/>
            <w:vAlign w:val="bottom"/>
            <w:hideMark/>
          </w:tcPr>
          <w:p w14:paraId="71E05765" w14:textId="77777777" w:rsidR="00200A1E" w:rsidRPr="00EC690A" w:rsidRDefault="00200A1E" w:rsidP="007B48D5">
            <w:pPr>
              <w:rPr>
                <w:color w:val="000000"/>
                <w:sz w:val="18"/>
                <w:szCs w:val="18"/>
                <w:lang w:eastAsia="en-GB"/>
              </w:rPr>
            </w:pPr>
          </w:p>
        </w:tc>
        <w:tc>
          <w:tcPr>
            <w:tcW w:w="807" w:type="pct"/>
            <w:tcBorders>
              <w:top w:val="nil"/>
              <w:left w:val="nil"/>
              <w:bottom w:val="nil"/>
              <w:right w:val="nil"/>
            </w:tcBorders>
            <w:shd w:val="clear" w:color="auto" w:fill="auto"/>
            <w:noWrap/>
            <w:vAlign w:val="bottom"/>
            <w:hideMark/>
          </w:tcPr>
          <w:p w14:paraId="4685B56D" w14:textId="77777777" w:rsidR="00200A1E" w:rsidRPr="00EC690A" w:rsidRDefault="00200A1E" w:rsidP="007B48D5">
            <w:pPr>
              <w:rPr>
                <w:color w:val="000000"/>
                <w:sz w:val="18"/>
                <w:szCs w:val="18"/>
                <w:lang w:eastAsia="en-GB"/>
              </w:rPr>
            </w:pPr>
          </w:p>
        </w:tc>
        <w:tc>
          <w:tcPr>
            <w:tcW w:w="725" w:type="pct"/>
            <w:tcBorders>
              <w:top w:val="nil"/>
              <w:left w:val="nil"/>
              <w:bottom w:val="nil"/>
              <w:right w:val="nil"/>
            </w:tcBorders>
            <w:shd w:val="clear" w:color="auto" w:fill="auto"/>
            <w:noWrap/>
            <w:vAlign w:val="bottom"/>
            <w:hideMark/>
          </w:tcPr>
          <w:p w14:paraId="128DFAA1" w14:textId="77777777" w:rsidR="00200A1E" w:rsidRPr="00EC690A" w:rsidRDefault="00200A1E" w:rsidP="007B48D5">
            <w:pPr>
              <w:rPr>
                <w:color w:val="000000"/>
                <w:sz w:val="18"/>
                <w:szCs w:val="18"/>
                <w:lang w:eastAsia="en-GB"/>
              </w:rPr>
            </w:pPr>
          </w:p>
        </w:tc>
        <w:tc>
          <w:tcPr>
            <w:tcW w:w="807" w:type="pct"/>
            <w:tcBorders>
              <w:top w:val="nil"/>
              <w:left w:val="nil"/>
              <w:bottom w:val="nil"/>
              <w:right w:val="nil"/>
            </w:tcBorders>
            <w:shd w:val="clear" w:color="auto" w:fill="auto"/>
            <w:noWrap/>
            <w:vAlign w:val="bottom"/>
            <w:hideMark/>
          </w:tcPr>
          <w:p w14:paraId="6BD4B8C5" w14:textId="77777777" w:rsidR="00200A1E" w:rsidRPr="00783BA0" w:rsidRDefault="00200A1E" w:rsidP="007B48D5">
            <w:pPr>
              <w:rPr>
                <w:color w:val="000000"/>
                <w:sz w:val="18"/>
                <w:szCs w:val="18"/>
                <w:lang w:eastAsia="en-GB"/>
              </w:rPr>
            </w:pPr>
          </w:p>
        </w:tc>
        <w:tc>
          <w:tcPr>
            <w:tcW w:w="725" w:type="pct"/>
            <w:tcBorders>
              <w:top w:val="nil"/>
              <w:left w:val="nil"/>
              <w:bottom w:val="nil"/>
              <w:right w:val="nil"/>
            </w:tcBorders>
            <w:shd w:val="clear" w:color="auto" w:fill="auto"/>
            <w:noWrap/>
            <w:vAlign w:val="bottom"/>
            <w:hideMark/>
          </w:tcPr>
          <w:p w14:paraId="5AC145F1" w14:textId="77777777" w:rsidR="00200A1E" w:rsidRPr="00783BA0" w:rsidRDefault="00200A1E" w:rsidP="007B48D5">
            <w:pPr>
              <w:rPr>
                <w:color w:val="000000"/>
                <w:sz w:val="18"/>
                <w:szCs w:val="18"/>
                <w:lang w:eastAsia="en-GB"/>
              </w:rPr>
            </w:pPr>
          </w:p>
        </w:tc>
      </w:tr>
      <w:tr w:rsidR="00200A1E" w:rsidRPr="00EC690A" w14:paraId="24D89C2D" w14:textId="77777777" w:rsidTr="0078286B">
        <w:trPr>
          <w:trHeight w:val="300"/>
        </w:trPr>
        <w:tc>
          <w:tcPr>
            <w:tcW w:w="1935" w:type="pct"/>
            <w:tcBorders>
              <w:top w:val="nil"/>
              <w:left w:val="nil"/>
              <w:bottom w:val="nil"/>
              <w:right w:val="nil"/>
            </w:tcBorders>
            <w:shd w:val="clear" w:color="auto" w:fill="auto"/>
            <w:noWrap/>
            <w:vAlign w:val="bottom"/>
            <w:hideMark/>
          </w:tcPr>
          <w:p w14:paraId="2D67F431" w14:textId="6740170E" w:rsidR="00200A1E" w:rsidRPr="00EC690A" w:rsidRDefault="00200A1E" w:rsidP="007B48D5">
            <w:pPr>
              <w:rPr>
                <w:color w:val="000000"/>
                <w:sz w:val="18"/>
                <w:szCs w:val="18"/>
                <w:lang w:eastAsia="en-GB"/>
              </w:rPr>
            </w:pPr>
            <w:r>
              <w:rPr>
                <w:color w:val="000000"/>
                <w:sz w:val="18"/>
                <w:szCs w:val="18"/>
                <w:lang w:eastAsia="en-GB"/>
              </w:rPr>
              <w:t>Cash and banks accounts</w:t>
            </w:r>
          </w:p>
        </w:tc>
        <w:tc>
          <w:tcPr>
            <w:tcW w:w="807" w:type="pct"/>
            <w:tcBorders>
              <w:top w:val="nil"/>
              <w:left w:val="nil"/>
              <w:bottom w:val="nil"/>
              <w:right w:val="nil"/>
            </w:tcBorders>
            <w:shd w:val="clear" w:color="auto" w:fill="auto"/>
            <w:noWrap/>
            <w:vAlign w:val="bottom"/>
            <w:hideMark/>
          </w:tcPr>
          <w:p w14:paraId="080FC1DD" w14:textId="77777777" w:rsidR="00200A1E" w:rsidRPr="00783BA0" w:rsidRDefault="00200A1E" w:rsidP="007B48D5">
            <w:pPr>
              <w:jc w:val="right"/>
              <w:rPr>
                <w:b/>
                <w:bCs/>
                <w:color w:val="000000"/>
                <w:sz w:val="18"/>
                <w:szCs w:val="18"/>
                <w:lang w:eastAsia="en-GB"/>
              </w:rPr>
            </w:pPr>
          </w:p>
        </w:tc>
        <w:tc>
          <w:tcPr>
            <w:tcW w:w="725" w:type="pct"/>
            <w:tcBorders>
              <w:top w:val="nil"/>
              <w:left w:val="nil"/>
              <w:bottom w:val="nil"/>
              <w:right w:val="nil"/>
            </w:tcBorders>
            <w:shd w:val="clear" w:color="auto" w:fill="auto"/>
            <w:noWrap/>
            <w:vAlign w:val="bottom"/>
            <w:hideMark/>
          </w:tcPr>
          <w:p w14:paraId="5F8CE864" w14:textId="7D594EDC" w:rsidR="00200A1E" w:rsidRPr="00783BA0" w:rsidRDefault="009B04A8" w:rsidP="007B48D5">
            <w:pPr>
              <w:jc w:val="right"/>
              <w:rPr>
                <w:b/>
                <w:bCs/>
                <w:color w:val="000000"/>
                <w:sz w:val="18"/>
                <w:szCs w:val="18"/>
                <w:lang w:eastAsia="en-GB"/>
              </w:rPr>
            </w:pPr>
            <w:r w:rsidRPr="00783BA0">
              <w:rPr>
                <w:b/>
                <w:bCs/>
                <w:color w:val="000000"/>
                <w:sz w:val="18"/>
                <w:szCs w:val="18"/>
                <w:lang w:eastAsia="en-GB"/>
              </w:rPr>
              <w:t>9,190,503</w:t>
            </w:r>
          </w:p>
        </w:tc>
        <w:tc>
          <w:tcPr>
            <w:tcW w:w="807" w:type="pct"/>
            <w:tcBorders>
              <w:top w:val="nil"/>
              <w:left w:val="nil"/>
              <w:bottom w:val="nil"/>
              <w:right w:val="nil"/>
            </w:tcBorders>
            <w:shd w:val="clear" w:color="auto" w:fill="auto"/>
            <w:noWrap/>
            <w:vAlign w:val="bottom"/>
            <w:hideMark/>
          </w:tcPr>
          <w:p w14:paraId="3BBC2B81" w14:textId="77777777" w:rsidR="00200A1E" w:rsidRPr="00783BA0" w:rsidRDefault="00200A1E" w:rsidP="007B48D5">
            <w:pPr>
              <w:jc w:val="right"/>
              <w:rPr>
                <w:color w:val="000000"/>
                <w:sz w:val="18"/>
                <w:szCs w:val="18"/>
                <w:lang w:eastAsia="en-GB"/>
              </w:rPr>
            </w:pPr>
          </w:p>
        </w:tc>
        <w:tc>
          <w:tcPr>
            <w:tcW w:w="725" w:type="pct"/>
            <w:tcBorders>
              <w:top w:val="nil"/>
              <w:left w:val="nil"/>
              <w:bottom w:val="nil"/>
              <w:right w:val="nil"/>
            </w:tcBorders>
            <w:shd w:val="clear" w:color="auto" w:fill="auto"/>
            <w:noWrap/>
            <w:vAlign w:val="bottom"/>
            <w:hideMark/>
          </w:tcPr>
          <w:p w14:paraId="3CDDD246" w14:textId="050950AC" w:rsidR="00200A1E" w:rsidRPr="00783BA0" w:rsidRDefault="00200A1E" w:rsidP="007B48D5">
            <w:pPr>
              <w:jc w:val="right"/>
              <w:rPr>
                <w:color w:val="000000"/>
                <w:sz w:val="18"/>
                <w:szCs w:val="18"/>
                <w:lang w:eastAsia="en-GB"/>
              </w:rPr>
            </w:pPr>
            <w:r w:rsidRPr="00783BA0">
              <w:rPr>
                <w:color w:val="000000"/>
                <w:sz w:val="18"/>
                <w:szCs w:val="18"/>
              </w:rPr>
              <w:t>6,563,578</w:t>
            </w:r>
          </w:p>
        </w:tc>
      </w:tr>
      <w:tr w:rsidR="0078286B" w:rsidRPr="00EC690A" w14:paraId="1F6A0B00" w14:textId="77777777" w:rsidTr="0078286B">
        <w:trPr>
          <w:trHeight w:val="300"/>
        </w:trPr>
        <w:tc>
          <w:tcPr>
            <w:tcW w:w="1935" w:type="pct"/>
            <w:tcBorders>
              <w:top w:val="nil"/>
              <w:left w:val="nil"/>
              <w:bottom w:val="nil"/>
              <w:right w:val="nil"/>
            </w:tcBorders>
            <w:shd w:val="clear" w:color="auto" w:fill="auto"/>
            <w:noWrap/>
            <w:vAlign w:val="bottom"/>
          </w:tcPr>
          <w:p w14:paraId="52AC3298" w14:textId="0DA68E58" w:rsidR="00200A1E" w:rsidRPr="00200A1E" w:rsidRDefault="00200A1E" w:rsidP="00200A1E">
            <w:pPr>
              <w:pStyle w:val="ListParagraph"/>
              <w:numPr>
                <w:ilvl w:val="0"/>
                <w:numId w:val="16"/>
              </w:numPr>
              <w:ind w:left="34" w:hanging="34"/>
              <w:rPr>
                <w:color w:val="000000"/>
                <w:sz w:val="18"/>
                <w:szCs w:val="18"/>
                <w:lang w:eastAsia="en-GB"/>
              </w:rPr>
            </w:pPr>
            <w:r w:rsidRPr="00200A1E">
              <w:rPr>
                <w:i/>
                <w:iCs/>
                <w:color w:val="000000"/>
                <w:sz w:val="18"/>
                <w:szCs w:val="18"/>
                <w:lang w:eastAsia="en-GB"/>
              </w:rPr>
              <w:t>Member of supervisory board of directors with significant influence over a Company</w:t>
            </w:r>
          </w:p>
        </w:tc>
        <w:tc>
          <w:tcPr>
            <w:tcW w:w="807" w:type="pct"/>
            <w:tcBorders>
              <w:top w:val="nil"/>
              <w:left w:val="nil"/>
              <w:bottom w:val="nil"/>
              <w:right w:val="nil"/>
            </w:tcBorders>
            <w:shd w:val="clear" w:color="auto" w:fill="auto"/>
            <w:noWrap/>
            <w:vAlign w:val="bottom"/>
          </w:tcPr>
          <w:p w14:paraId="331DD22D" w14:textId="5A5DF480" w:rsidR="00200A1E" w:rsidRPr="00783BA0" w:rsidRDefault="009B04A8" w:rsidP="007B48D5">
            <w:pPr>
              <w:jc w:val="right"/>
              <w:rPr>
                <w:b/>
                <w:bCs/>
                <w:i/>
                <w:iCs/>
                <w:color w:val="000000"/>
                <w:sz w:val="18"/>
                <w:szCs w:val="18"/>
                <w:lang w:eastAsia="en-GB"/>
              </w:rPr>
            </w:pPr>
            <w:r w:rsidRPr="00783BA0">
              <w:rPr>
                <w:b/>
                <w:bCs/>
                <w:i/>
                <w:iCs/>
                <w:color w:val="000000"/>
                <w:sz w:val="18"/>
                <w:szCs w:val="18"/>
                <w:lang w:eastAsia="en-GB"/>
              </w:rPr>
              <w:t>5,715</w:t>
            </w:r>
          </w:p>
        </w:tc>
        <w:tc>
          <w:tcPr>
            <w:tcW w:w="725" w:type="pct"/>
            <w:tcBorders>
              <w:top w:val="nil"/>
              <w:left w:val="nil"/>
              <w:bottom w:val="nil"/>
              <w:right w:val="nil"/>
            </w:tcBorders>
            <w:shd w:val="clear" w:color="auto" w:fill="auto"/>
            <w:noWrap/>
            <w:vAlign w:val="bottom"/>
          </w:tcPr>
          <w:p w14:paraId="1A14E3D6" w14:textId="77777777" w:rsidR="00200A1E" w:rsidRPr="00783BA0" w:rsidRDefault="00200A1E" w:rsidP="007B48D5">
            <w:pPr>
              <w:jc w:val="right"/>
              <w:rPr>
                <w:b/>
                <w:bCs/>
                <w:color w:val="000000"/>
                <w:sz w:val="18"/>
                <w:szCs w:val="18"/>
              </w:rPr>
            </w:pPr>
          </w:p>
        </w:tc>
        <w:tc>
          <w:tcPr>
            <w:tcW w:w="807" w:type="pct"/>
            <w:tcBorders>
              <w:top w:val="nil"/>
              <w:left w:val="nil"/>
              <w:bottom w:val="nil"/>
              <w:right w:val="nil"/>
            </w:tcBorders>
            <w:shd w:val="clear" w:color="auto" w:fill="auto"/>
            <w:noWrap/>
            <w:vAlign w:val="bottom"/>
          </w:tcPr>
          <w:p w14:paraId="2E755A44" w14:textId="1B4D191D" w:rsidR="00200A1E" w:rsidRPr="00783BA0" w:rsidRDefault="00200A1E" w:rsidP="007B48D5">
            <w:pPr>
              <w:jc w:val="right"/>
              <w:rPr>
                <w:i/>
                <w:iCs/>
                <w:color w:val="000000"/>
                <w:sz w:val="18"/>
                <w:szCs w:val="18"/>
                <w:lang w:eastAsia="en-GB"/>
              </w:rPr>
            </w:pPr>
            <w:r w:rsidRPr="00783BA0">
              <w:rPr>
                <w:i/>
                <w:iCs/>
                <w:color w:val="000000"/>
                <w:sz w:val="18"/>
                <w:szCs w:val="18"/>
                <w:lang w:eastAsia="en-GB"/>
              </w:rPr>
              <w:t>4,654</w:t>
            </w:r>
          </w:p>
        </w:tc>
        <w:tc>
          <w:tcPr>
            <w:tcW w:w="725" w:type="pct"/>
            <w:tcBorders>
              <w:top w:val="nil"/>
              <w:left w:val="nil"/>
              <w:bottom w:val="nil"/>
              <w:right w:val="nil"/>
            </w:tcBorders>
            <w:shd w:val="clear" w:color="auto" w:fill="auto"/>
            <w:noWrap/>
            <w:vAlign w:val="bottom"/>
          </w:tcPr>
          <w:p w14:paraId="6714AE27" w14:textId="77777777" w:rsidR="00200A1E" w:rsidRPr="00783BA0" w:rsidRDefault="00200A1E" w:rsidP="007B48D5">
            <w:pPr>
              <w:jc w:val="right"/>
              <w:rPr>
                <w:color w:val="000000"/>
                <w:sz w:val="18"/>
                <w:szCs w:val="18"/>
              </w:rPr>
            </w:pPr>
          </w:p>
        </w:tc>
      </w:tr>
      <w:tr w:rsidR="009B04A8" w:rsidRPr="00BD2F47" w14:paraId="4476EB20" w14:textId="77777777" w:rsidTr="0078286B">
        <w:trPr>
          <w:trHeight w:val="300"/>
        </w:trPr>
        <w:tc>
          <w:tcPr>
            <w:tcW w:w="1935" w:type="pct"/>
            <w:tcBorders>
              <w:top w:val="nil"/>
              <w:left w:val="nil"/>
              <w:bottom w:val="nil"/>
              <w:right w:val="nil"/>
            </w:tcBorders>
            <w:shd w:val="clear" w:color="auto" w:fill="auto"/>
            <w:noWrap/>
            <w:vAlign w:val="bottom"/>
          </w:tcPr>
          <w:p w14:paraId="56353A25" w14:textId="64AAB059" w:rsidR="009B04A8" w:rsidRPr="009B04A8" w:rsidRDefault="009B04A8" w:rsidP="009B04A8">
            <w:pPr>
              <w:pStyle w:val="ListParagraph"/>
              <w:ind w:left="34"/>
              <w:rPr>
                <w:i/>
                <w:iCs/>
                <w:color w:val="000000"/>
                <w:sz w:val="18"/>
                <w:szCs w:val="18"/>
                <w:lang w:eastAsia="en-GB"/>
              </w:rPr>
            </w:pPr>
            <w:r>
              <w:rPr>
                <w:color w:val="000000"/>
                <w:sz w:val="18"/>
                <w:szCs w:val="18"/>
                <w:lang w:eastAsia="en-GB"/>
              </w:rPr>
              <w:t>Advances paid</w:t>
            </w:r>
          </w:p>
        </w:tc>
        <w:tc>
          <w:tcPr>
            <w:tcW w:w="807" w:type="pct"/>
            <w:tcBorders>
              <w:top w:val="nil"/>
              <w:left w:val="nil"/>
              <w:bottom w:val="nil"/>
              <w:right w:val="nil"/>
            </w:tcBorders>
            <w:shd w:val="clear" w:color="auto" w:fill="auto"/>
            <w:noWrap/>
            <w:vAlign w:val="bottom"/>
          </w:tcPr>
          <w:p w14:paraId="53048DC2" w14:textId="77777777" w:rsidR="009B04A8" w:rsidRPr="00783BA0" w:rsidRDefault="009B04A8" w:rsidP="007B48D5">
            <w:pPr>
              <w:jc w:val="right"/>
              <w:rPr>
                <w:b/>
                <w:bCs/>
                <w:i/>
                <w:iCs/>
                <w:color w:val="000000"/>
                <w:sz w:val="18"/>
                <w:szCs w:val="18"/>
                <w:lang w:eastAsia="en-GB"/>
              </w:rPr>
            </w:pPr>
          </w:p>
        </w:tc>
        <w:tc>
          <w:tcPr>
            <w:tcW w:w="725" w:type="pct"/>
            <w:tcBorders>
              <w:top w:val="nil"/>
              <w:left w:val="nil"/>
              <w:bottom w:val="nil"/>
              <w:right w:val="nil"/>
            </w:tcBorders>
            <w:shd w:val="clear" w:color="auto" w:fill="auto"/>
            <w:noWrap/>
            <w:vAlign w:val="bottom"/>
          </w:tcPr>
          <w:p w14:paraId="70BF3007" w14:textId="590856F5" w:rsidR="009B04A8" w:rsidRPr="00783BA0" w:rsidRDefault="009B04A8" w:rsidP="007B48D5">
            <w:pPr>
              <w:jc w:val="right"/>
              <w:rPr>
                <w:b/>
                <w:bCs/>
                <w:color w:val="000000"/>
                <w:sz w:val="18"/>
                <w:szCs w:val="18"/>
              </w:rPr>
            </w:pPr>
            <w:r w:rsidRPr="00783BA0">
              <w:rPr>
                <w:b/>
                <w:bCs/>
                <w:color w:val="000000"/>
                <w:sz w:val="18"/>
                <w:szCs w:val="18"/>
              </w:rPr>
              <w:t>107,781</w:t>
            </w:r>
          </w:p>
        </w:tc>
        <w:tc>
          <w:tcPr>
            <w:tcW w:w="807" w:type="pct"/>
            <w:tcBorders>
              <w:top w:val="nil"/>
              <w:left w:val="nil"/>
              <w:bottom w:val="nil"/>
              <w:right w:val="nil"/>
            </w:tcBorders>
            <w:shd w:val="clear" w:color="auto" w:fill="auto"/>
            <w:noWrap/>
            <w:vAlign w:val="bottom"/>
          </w:tcPr>
          <w:p w14:paraId="71A2739A" w14:textId="77777777" w:rsidR="009B04A8" w:rsidRPr="00783BA0" w:rsidRDefault="009B04A8" w:rsidP="007B48D5">
            <w:pPr>
              <w:jc w:val="right"/>
              <w:rPr>
                <w:i/>
                <w:iCs/>
                <w:color w:val="000000"/>
                <w:sz w:val="18"/>
                <w:szCs w:val="18"/>
                <w:lang w:eastAsia="en-GB"/>
              </w:rPr>
            </w:pPr>
          </w:p>
        </w:tc>
        <w:tc>
          <w:tcPr>
            <w:tcW w:w="725" w:type="pct"/>
            <w:tcBorders>
              <w:top w:val="nil"/>
              <w:left w:val="nil"/>
              <w:bottom w:val="nil"/>
              <w:right w:val="nil"/>
            </w:tcBorders>
            <w:shd w:val="clear" w:color="auto" w:fill="auto"/>
            <w:noWrap/>
            <w:vAlign w:val="bottom"/>
          </w:tcPr>
          <w:p w14:paraId="0039CCEA" w14:textId="0B7B52CD" w:rsidR="009B04A8" w:rsidRPr="00783BA0" w:rsidRDefault="009B04A8" w:rsidP="007B48D5">
            <w:pPr>
              <w:jc w:val="right"/>
              <w:rPr>
                <w:color w:val="000000"/>
                <w:sz w:val="18"/>
                <w:szCs w:val="18"/>
              </w:rPr>
            </w:pPr>
            <w:r w:rsidRPr="00783BA0">
              <w:rPr>
                <w:color w:val="000000"/>
                <w:sz w:val="18"/>
                <w:szCs w:val="18"/>
              </w:rPr>
              <w:t>8,279</w:t>
            </w:r>
          </w:p>
        </w:tc>
      </w:tr>
      <w:tr w:rsidR="009B04A8" w:rsidRPr="00EC690A" w14:paraId="01E8CA56" w14:textId="77777777" w:rsidTr="0078286B">
        <w:trPr>
          <w:trHeight w:val="300"/>
        </w:trPr>
        <w:tc>
          <w:tcPr>
            <w:tcW w:w="1935" w:type="pct"/>
            <w:tcBorders>
              <w:top w:val="nil"/>
              <w:left w:val="nil"/>
              <w:bottom w:val="nil"/>
              <w:right w:val="nil"/>
            </w:tcBorders>
            <w:shd w:val="clear" w:color="auto" w:fill="auto"/>
            <w:noWrap/>
            <w:vAlign w:val="bottom"/>
          </w:tcPr>
          <w:p w14:paraId="606D78F8" w14:textId="146C3CEE" w:rsidR="009B04A8" w:rsidRPr="009B04A8" w:rsidRDefault="009B04A8" w:rsidP="00200A1E">
            <w:pPr>
              <w:pStyle w:val="ListParagraph"/>
              <w:numPr>
                <w:ilvl w:val="0"/>
                <w:numId w:val="16"/>
              </w:numPr>
              <w:ind w:left="34" w:hanging="34"/>
              <w:rPr>
                <w:i/>
                <w:iCs/>
                <w:color w:val="000000"/>
                <w:sz w:val="18"/>
                <w:szCs w:val="18"/>
                <w:lang w:eastAsia="en-GB"/>
              </w:rPr>
            </w:pPr>
            <w:r w:rsidRPr="009B04A8">
              <w:rPr>
                <w:i/>
                <w:iCs/>
                <w:color w:val="000000"/>
                <w:sz w:val="18"/>
                <w:szCs w:val="18"/>
                <w:lang w:eastAsia="en-GB"/>
              </w:rPr>
              <w:t>companies controlled by the shareholder</w:t>
            </w:r>
          </w:p>
        </w:tc>
        <w:tc>
          <w:tcPr>
            <w:tcW w:w="807" w:type="pct"/>
            <w:tcBorders>
              <w:top w:val="nil"/>
              <w:left w:val="nil"/>
              <w:bottom w:val="nil"/>
              <w:right w:val="nil"/>
            </w:tcBorders>
            <w:shd w:val="clear" w:color="auto" w:fill="auto"/>
            <w:noWrap/>
            <w:vAlign w:val="bottom"/>
          </w:tcPr>
          <w:p w14:paraId="62C69D48" w14:textId="36095BEE" w:rsidR="009B04A8" w:rsidRPr="00783BA0" w:rsidRDefault="009B04A8" w:rsidP="007B48D5">
            <w:pPr>
              <w:jc w:val="right"/>
              <w:rPr>
                <w:b/>
                <w:bCs/>
                <w:i/>
                <w:iCs/>
                <w:color w:val="000000"/>
                <w:sz w:val="18"/>
                <w:szCs w:val="18"/>
                <w:lang w:eastAsia="en-GB"/>
              </w:rPr>
            </w:pPr>
            <w:r w:rsidRPr="00783BA0">
              <w:rPr>
                <w:b/>
                <w:bCs/>
                <w:i/>
                <w:iCs/>
                <w:color w:val="000000"/>
                <w:sz w:val="18"/>
                <w:szCs w:val="18"/>
                <w:lang w:eastAsia="en-GB"/>
              </w:rPr>
              <w:t>99,511</w:t>
            </w:r>
          </w:p>
        </w:tc>
        <w:tc>
          <w:tcPr>
            <w:tcW w:w="725" w:type="pct"/>
            <w:tcBorders>
              <w:top w:val="nil"/>
              <w:left w:val="nil"/>
              <w:bottom w:val="nil"/>
              <w:right w:val="nil"/>
            </w:tcBorders>
            <w:shd w:val="clear" w:color="auto" w:fill="auto"/>
            <w:noWrap/>
            <w:vAlign w:val="bottom"/>
          </w:tcPr>
          <w:p w14:paraId="788CAF2A" w14:textId="77777777" w:rsidR="009B04A8" w:rsidRPr="00783BA0" w:rsidRDefault="009B04A8" w:rsidP="007B48D5">
            <w:pPr>
              <w:jc w:val="right"/>
              <w:rPr>
                <w:b/>
                <w:bCs/>
                <w:color w:val="000000"/>
                <w:sz w:val="18"/>
                <w:szCs w:val="18"/>
              </w:rPr>
            </w:pPr>
          </w:p>
        </w:tc>
        <w:tc>
          <w:tcPr>
            <w:tcW w:w="807" w:type="pct"/>
            <w:tcBorders>
              <w:top w:val="nil"/>
              <w:left w:val="nil"/>
              <w:bottom w:val="nil"/>
              <w:right w:val="nil"/>
            </w:tcBorders>
            <w:shd w:val="clear" w:color="auto" w:fill="auto"/>
            <w:noWrap/>
            <w:vAlign w:val="bottom"/>
          </w:tcPr>
          <w:p w14:paraId="4828E08F" w14:textId="2CA35B08" w:rsidR="009B04A8" w:rsidRPr="00783BA0" w:rsidRDefault="009B04A8" w:rsidP="007B48D5">
            <w:pPr>
              <w:jc w:val="right"/>
              <w:rPr>
                <w:i/>
                <w:iCs/>
                <w:color w:val="000000"/>
                <w:sz w:val="18"/>
                <w:szCs w:val="18"/>
                <w:lang w:eastAsia="en-GB"/>
              </w:rPr>
            </w:pPr>
            <w:r w:rsidRPr="00783BA0">
              <w:rPr>
                <w:i/>
                <w:iCs/>
                <w:color w:val="000000"/>
                <w:sz w:val="18"/>
                <w:szCs w:val="18"/>
                <w:lang w:eastAsia="en-GB"/>
              </w:rPr>
              <w:t>-</w:t>
            </w:r>
          </w:p>
        </w:tc>
        <w:tc>
          <w:tcPr>
            <w:tcW w:w="725" w:type="pct"/>
            <w:tcBorders>
              <w:top w:val="nil"/>
              <w:left w:val="nil"/>
              <w:bottom w:val="nil"/>
              <w:right w:val="nil"/>
            </w:tcBorders>
            <w:shd w:val="clear" w:color="auto" w:fill="auto"/>
            <w:noWrap/>
            <w:vAlign w:val="bottom"/>
          </w:tcPr>
          <w:p w14:paraId="633BA2FE" w14:textId="77777777" w:rsidR="009B04A8" w:rsidRPr="00783BA0" w:rsidRDefault="009B04A8" w:rsidP="007B48D5">
            <w:pPr>
              <w:jc w:val="right"/>
              <w:rPr>
                <w:color w:val="000000"/>
                <w:sz w:val="18"/>
                <w:szCs w:val="18"/>
              </w:rPr>
            </w:pPr>
          </w:p>
        </w:tc>
      </w:tr>
      <w:tr w:rsidR="0078286B" w:rsidRPr="00EC690A" w14:paraId="210503C4" w14:textId="77777777" w:rsidTr="0078286B">
        <w:trPr>
          <w:trHeight w:val="352"/>
        </w:trPr>
        <w:tc>
          <w:tcPr>
            <w:tcW w:w="1935" w:type="pct"/>
            <w:tcBorders>
              <w:top w:val="nil"/>
              <w:left w:val="nil"/>
              <w:bottom w:val="nil"/>
              <w:right w:val="nil"/>
            </w:tcBorders>
            <w:shd w:val="clear" w:color="auto" w:fill="auto"/>
            <w:noWrap/>
            <w:vAlign w:val="bottom"/>
          </w:tcPr>
          <w:p w14:paraId="71A9BCE3" w14:textId="2568D12A" w:rsidR="00200A1E" w:rsidRPr="00EC690A" w:rsidRDefault="00200A1E" w:rsidP="007B48D5">
            <w:pPr>
              <w:rPr>
                <w:color w:val="000000"/>
                <w:sz w:val="18"/>
                <w:szCs w:val="18"/>
                <w:lang w:eastAsia="en-GB"/>
              </w:rPr>
            </w:pPr>
            <w:r>
              <w:rPr>
                <w:color w:val="000000"/>
                <w:sz w:val="18"/>
                <w:szCs w:val="18"/>
                <w:lang w:eastAsia="en-GB"/>
              </w:rPr>
              <w:t>Claims payable</w:t>
            </w:r>
          </w:p>
        </w:tc>
        <w:tc>
          <w:tcPr>
            <w:tcW w:w="807" w:type="pct"/>
            <w:tcBorders>
              <w:top w:val="nil"/>
              <w:left w:val="nil"/>
              <w:bottom w:val="nil"/>
              <w:right w:val="nil"/>
            </w:tcBorders>
            <w:shd w:val="clear" w:color="auto" w:fill="auto"/>
            <w:noWrap/>
            <w:vAlign w:val="bottom"/>
          </w:tcPr>
          <w:p w14:paraId="17C055D7" w14:textId="77777777" w:rsidR="00200A1E" w:rsidRPr="00783BA0" w:rsidRDefault="00200A1E" w:rsidP="007B48D5">
            <w:pPr>
              <w:jc w:val="right"/>
              <w:rPr>
                <w:b/>
                <w:bCs/>
                <w:i/>
                <w:iCs/>
                <w:color w:val="000000"/>
                <w:sz w:val="18"/>
                <w:szCs w:val="18"/>
                <w:lang w:eastAsia="en-GB"/>
              </w:rPr>
            </w:pPr>
          </w:p>
        </w:tc>
        <w:tc>
          <w:tcPr>
            <w:tcW w:w="725" w:type="pct"/>
            <w:tcBorders>
              <w:top w:val="nil"/>
              <w:left w:val="nil"/>
              <w:bottom w:val="nil"/>
              <w:right w:val="nil"/>
            </w:tcBorders>
            <w:shd w:val="clear" w:color="auto" w:fill="auto"/>
            <w:noWrap/>
            <w:vAlign w:val="bottom"/>
          </w:tcPr>
          <w:p w14:paraId="48A9D8DF" w14:textId="414B7032" w:rsidR="00200A1E" w:rsidRPr="00783BA0" w:rsidRDefault="009B04A8" w:rsidP="007B48D5">
            <w:pPr>
              <w:jc w:val="right"/>
              <w:rPr>
                <w:b/>
                <w:bCs/>
                <w:color w:val="000000"/>
                <w:sz w:val="18"/>
                <w:szCs w:val="18"/>
              </w:rPr>
            </w:pPr>
            <w:r w:rsidRPr="00783BA0">
              <w:rPr>
                <w:b/>
                <w:bCs/>
                <w:color w:val="000000"/>
                <w:sz w:val="18"/>
                <w:szCs w:val="18"/>
              </w:rPr>
              <w:t>(176,047)</w:t>
            </w:r>
          </w:p>
        </w:tc>
        <w:tc>
          <w:tcPr>
            <w:tcW w:w="807" w:type="pct"/>
            <w:tcBorders>
              <w:top w:val="nil"/>
              <w:left w:val="nil"/>
              <w:bottom w:val="nil"/>
              <w:right w:val="nil"/>
            </w:tcBorders>
            <w:shd w:val="clear" w:color="auto" w:fill="auto"/>
            <w:noWrap/>
            <w:vAlign w:val="bottom"/>
          </w:tcPr>
          <w:p w14:paraId="36F1AC98" w14:textId="77777777" w:rsidR="00200A1E" w:rsidRPr="00783BA0" w:rsidRDefault="00200A1E" w:rsidP="007B48D5">
            <w:pPr>
              <w:jc w:val="right"/>
              <w:rPr>
                <w:i/>
                <w:iCs/>
                <w:color w:val="000000"/>
                <w:sz w:val="18"/>
                <w:szCs w:val="18"/>
                <w:lang w:eastAsia="en-GB"/>
              </w:rPr>
            </w:pPr>
          </w:p>
        </w:tc>
        <w:tc>
          <w:tcPr>
            <w:tcW w:w="725" w:type="pct"/>
            <w:tcBorders>
              <w:top w:val="nil"/>
              <w:left w:val="nil"/>
              <w:bottom w:val="nil"/>
              <w:right w:val="nil"/>
            </w:tcBorders>
            <w:shd w:val="clear" w:color="auto" w:fill="auto"/>
            <w:noWrap/>
            <w:vAlign w:val="bottom"/>
          </w:tcPr>
          <w:p w14:paraId="707704EE" w14:textId="2A494B34" w:rsidR="00200A1E" w:rsidRPr="00783BA0" w:rsidRDefault="00200A1E" w:rsidP="007B48D5">
            <w:pPr>
              <w:jc w:val="right"/>
              <w:rPr>
                <w:color w:val="000000"/>
                <w:sz w:val="18"/>
                <w:szCs w:val="18"/>
              </w:rPr>
            </w:pPr>
            <w:r w:rsidRPr="00783BA0">
              <w:rPr>
                <w:color w:val="000000"/>
                <w:sz w:val="18"/>
                <w:szCs w:val="18"/>
              </w:rPr>
              <w:t>(157,693)</w:t>
            </w:r>
          </w:p>
        </w:tc>
      </w:tr>
      <w:tr w:rsidR="00200A1E" w:rsidRPr="00EC690A" w14:paraId="5B58CD7B" w14:textId="77777777" w:rsidTr="0078286B">
        <w:trPr>
          <w:trHeight w:val="300"/>
        </w:trPr>
        <w:tc>
          <w:tcPr>
            <w:tcW w:w="1935" w:type="pct"/>
            <w:tcBorders>
              <w:top w:val="nil"/>
              <w:left w:val="nil"/>
              <w:bottom w:val="nil"/>
              <w:right w:val="nil"/>
            </w:tcBorders>
            <w:shd w:val="clear" w:color="auto" w:fill="auto"/>
            <w:noWrap/>
            <w:vAlign w:val="bottom"/>
            <w:hideMark/>
          </w:tcPr>
          <w:p w14:paraId="24EC2E89" w14:textId="07DD36A6" w:rsidR="00200A1E" w:rsidRPr="0078286B" w:rsidRDefault="00200A1E" w:rsidP="0078286B">
            <w:pPr>
              <w:pStyle w:val="ListParagraph"/>
              <w:numPr>
                <w:ilvl w:val="0"/>
                <w:numId w:val="16"/>
              </w:numPr>
              <w:ind w:left="0" w:firstLine="0"/>
              <w:rPr>
                <w:i/>
                <w:iCs/>
                <w:color w:val="000000"/>
                <w:sz w:val="18"/>
                <w:szCs w:val="18"/>
                <w:lang w:eastAsia="en-GB"/>
              </w:rPr>
            </w:pPr>
            <w:r w:rsidRPr="0078286B">
              <w:rPr>
                <w:i/>
                <w:iCs/>
                <w:color w:val="000000"/>
                <w:sz w:val="18"/>
                <w:szCs w:val="18"/>
                <w:lang w:eastAsia="en-GB"/>
              </w:rPr>
              <w:t>companies controlled by the shareholder</w:t>
            </w:r>
          </w:p>
        </w:tc>
        <w:tc>
          <w:tcPr>
            <w:tcW w:w="807" w:type="pct"/>
            <w:tcBorders>
              <w:top w:val="nil"/>
              <w:left w:val="nil"/>
              <w:bottom w:val="nil"/>
              <w:right w:val="nil"/>
            </w:tcBorders>
            <w:shd w:val="clear" w:color="auto" w:fill="auto"/>
            <w:noWrap/>
            <w:vAlign w:val="bottom"/>
          </w:tcPr>
          <w:p w14:paraId="13C1FC7D" w14:textId="061C1738" w:rsidR="00200A1E" w:rsidRPr="00783BA0" w:rsidRDefault="009B04A8" w:rsidP="007B48D5">
            <w:pPr>
              <w:jc w:val="right"/>
              <w:rPr>
                <w:b/>
                <w:bCs/>
                <w:i/>
                <w:iCs/>
                <w:color w:val="000000"/>
                <w:sz w:val="18"/>
                <w:szCs w:val="18"/>
                <w:lang w:eastAsia="en-GB"/>
              </w:rPr>
            </w:pPr>
            <w:r w:rsidRPr="00783BA0">
              <w:rPr>
                <w:b/>
                <w:bCs/>
                <w:i/>
                <w:iCs/>
                <w:color w:val="000000"/>
                <w:sz w:val="18"/>
                <w:szCs w:val="18"/>
                <w:lang w:eastAsia="en-GB"/>
              </w:rPr>
              <w:t>-</w:t>
            </w:r>
          </w:p>
        </w:tc>
        <w:tc>
          <w:tcPr>
            <w:tcW w:w="725" w:type="pct"/>
            <w:tcBorders>
              <w:top w:val="nil"/>
              <w:left w:val="nil"/>
              <w:bottom w:val="nil"/>
              <w:right w:val="nil"/>
            </w:tcBorders>
            <w:shd w:val="clear" w:color="auto" w:fill="auto"/>
            <w:noWrap/>
            <w:vAlign w:val="bottom"/>
          </w:tcPr>
          <w:p w14:paraId="13FFFC2A" w14:textId="77777777" w:rsidR="00200A1E" w:rsidRPr="00783BA0" w:rsidRDefault="00200A1E" w:rsidP="007B48D5">
            <w:pPr>
              <w:jc w:val="right"/>
              <w:rPr>
                <w:b/>
                <w:bCs/>
                <w:color w:val="000000"/>
                <w:sz w:val="18"/>
                <w:szCs w:val="18"/>
                <w:lang w:eastAsia="en-GB"/>
              </w:rPr>
            </w:pPr>
          </w:p>
        </w:tc>
        <w:tc>
          <w:tcPr>
            <w:tcW w:w="807" w:type="pct"/>
            <w:tcBorders>
              <w:top w:val="nil"/>
              <w:left w:val="nil"/>
              <w:bottom w:val="nil"/>
              <w:right w:val="nil"/>
            </w:tcBorders>
            <w:shd w:val="clear" w:color="auto" w:fill="auto"/>
            <w:noWrap/>
            <w:vAlign w:val="bottom"/>
            <w:hideMark/>
          </w:tcPr>
          <w:p w14:paraId="5E7985F0" w14:textId="79B09FAC" w:rsidR="00200A1E" w:rsidRPr="00783BA0" w:rsidRDefault="00200A1E" w:rsidP="007B48D5">
            <w:pPr>
              <w:jc w:val="right"/>
              <w:rPr>
                <w:i/>
                <w:iCs/>
                <w:color w:val="000000"/>
                <w:sz w:val="18"/>
                <w:szCs w:val="18"/>
                <w:lang w:eastAsia="en-GB"/>
              </w:rPr>
            </w:pPr>
            <w:r w:rsidRPr="00783BA0">
              <w:rPr>
                <w:i/>
                <w:iCs/>
                <w:color w:val="000000"/>
                <w:sz w:val="18"/>
                <w:szCs w:val="18"/>
              </w:rPr>
              <w:t>(</w:t>
            </w:r>
            <w:r w:rsidR="0078286B" w:rsidRPr="00783BA0">
              <w:rPr>
                <w:i/>
                <w:iCs/>
                <w:color w:val="000000"/>
                <w:sz w:val="18"/>
                <w:szCs w:val="18"/>
              </w:rPr>
              <w:t>73,296</w:t>
            </w:r>
            <w:r w:rsidRPr="00783BA0">
              <w:rPr>
                <w:i/>
                <w:iCs/>
                <w:color w:val="000000"/>
                <w:sz w:val="18"/>
                <w:szCs w:val="18"/>
              </w:rPr>
              <w:t>)</w:t>
            </w:r>
          </w:p>
        </w:tc>
        <w:tc>
          <w:tcPr>
            <w:tcW w:w="725" w:type="pct"/>
            <w:tcBorders>
              <w:top w:val="nil"/>
              <w:left w:val="nil"/>
              <w:bottom w:val="nil"/>
              <w:right w:val="nil"/>
            </w:tcBorders>
            <w:shd w:val="clear" w:color="auto" w:fill="auto"/>
            <w:noWrap/>
            <w:vAlign w:val="bottom"/>
            <w:hideMark/>
          </w:tcPr>
          <w:p w14:paraId="7714283E" w14:textId="77777777" w:rsidR="00200A1E" w:rsidRPr="00783BA0" w:rsidRDefault="00200A1E" w:rsidP="007B48D5">
            <w:pPr>
              <w:jc w:val="right"/>
              <w:rPr>
                <w:color w:val="000000"/>
                <w:sz w:val="18"/>
                <w:szCs w:val="18"/>
                <w:lang w:eastAsia="en-GB"/>
              </w:rPr>
            </w:pPr>
          </w:p>
        </w:tc>
      </w:tr>
      <w:tr w:rsidR="0078286B" w:rsidRPr="00EC690A" w14:paraId="01A6A0D7" w14:textId="77777777" w:rsidTr="0078286B">
        <w:trPr>
          <w:trHeight w:val="300"/>
        </w:trPr>
        <w:tc>
          <w:tcPr>
            <w:tcW w:w="1935" w:type="pct"/>
            <w:tcBorders>
              <w:top w:val="nil"/>
              <w:left w:val="nil"/>
              <w:bottom w:val="nil"/>
              <w:right w:val="nil"/>
            </w:tcBorders>
            <w:shd w:val="clear" w:color="auto" w:fill="auto"/>
            <w:noWrap/>
            <w:vAlign w:val="bottom"/>
          </w:tcPr>
          <w:p w14:paraId="10AE9C92" w14:textId="4C9BE7CC" w:rsidR="0078286B" w:rsidRPr="0078286B" w:rsidRDefault="0078286B" w:rsidP="007B48D5">
            <w:pPr>
              <w:rPr>
                <w:color w:val="000000"/>
                <w:sz w:val="18"/>
                <w:szCs w:val="18"/>
                <w:lang w:eastAsia="en-GB"/>
              </w:rPr>
            </w:pPr>
            <w:r>
              <w:rPr>
                <w:color w:val="000000"/>
                <w:sz w:val="18"/>
                <w:szCs w:val="18"/>
                <w:lang w:eastAsia="en-GB"/>
              </w:rPr>
              <w:t>Gross written premiums</w:t>
            </w:r>
          </w:p>
        </w:tc>
        <w:tc>
          <w:tcPr>
            <w:tcW w:w="807" w:type="pct"/>
            <w:tcBorders>
              <w:top w:val="nil"/>
              <w:left w:val="nil"/>
              <w:bottom w:val="nil"/>
              <w:right w:val="nil"/>
            </w:tcBorders>
            <w:shd w:val="clear" w:color="auto" w:fill="auto"/>
            <w:noWrap/>
            <w:vAlign w:val="bottom"/>
          </w:tcPr>
          <w:p w14:paraId="15B93D5F" w14:textId="77777777" w:rsidR="0078286B" w:rsidRPr="00783BA0" w:rsidRDefault="0078286B" w:rsidP="007B48D5">
            <w:pPr>
              <w:jc w:val="right"/>
              <w:rPr>
                <w:b/>
                <w:bCs/>
                <w:i/>
                <w:iCs/>
                <w:color w:val="000000"/>
                <w:sz w:val="18"/>
                <w:szCs w:val="18"/>
              </w:rPr>
            </w:pPr>
          </w:p>
        </w:tc>
        <w:tc>
          <w:tcPr>
            <w:tcW w:w="725" w:type="pct"/>
            <w:tcBorders>
              <w:top w:val="nil"/>
              <w:left w:val="nil"/>
              <w:bottom w:val="nil"/>
              <w:right w:val="nil"/>
            </w:tcBorders>
            <w:shd w:val="clear" w:color="auto" w:fill="auto"/>
            <w:noWrap/>
            <w:vAlign w:val="bottom"/>
          </w:tcPr>
          <w:p w14:paraId="7E741F0E" w14:textId="67E94438" w:rsidR="0078286B" w:rsidRPr="00783BA0" w:rsidRDefault="009B04A8" w:rsidP="007B48D5">
            <w:pPr>
              <w:jc w:val="right"/>
              <w:rPr>
                <w:b/>
                <w:bCs/>
                <w:color w:val="000000"/>
                <w:sz w:val="18"/>
                <w:szCs w:val="18"/>
                <w:lang w:eastAsia="en-GB"/>
              </w:rPr>
            </w:pPr>
            <w:r w:rsidRPr="00783BA0">
              <w:rPr>
                <w:b/>
                <w:bCs/>
                <w:color w:val="000000"/>
                <w:sz w:val="18"/>
                <w:szCs w:val="18"/>
                <w:lang w:eastAsia="en-GB"/>
              </w:rPr>
              <w:t>14,811,975</w:t>
            </w:r>
          </w:p>
        </w:tc>
        <w:tc>
          <w:tcPr>
            <w:tcW w:w="807" w:type="pct"/>
            <w:tcBorders>
              <w:top w:val="nil"/>
              <w:left w:val="nil"/>
              <w:bottom w:val="nil"/>
              <w:right w:val="nil"/>
            </w:tcBorders>
            <w:shd w:val="clear" w:color="auto" w:fill="auto"/>
            <w:noWrap/>
            <w:vAlign w:val="bottom"/>
          </w:tcPr>
          <w:p w14:paraId="47D8491B" w14:textId="77777777" w:rsidR="0078286B" w:rsidRPr="00783BA0" w:rsidRDefault="0078286B" w:rsidP="007B48D5">
            <w:pPr>
              <w:jc w:val="right"/>
              <w:rPr>
                <w:i/>
                <w:iCs/>
                <w:color w:val="000000"/>
                <w:sz w:val="18"/>
                <w:szCs w:val="18"/>
              </w:rPr>
            </w:pPr>
          </w:p>
        </w:tc>
        <w:tc>
          <w:tcPr>
            <w:tcW w:w="725" w:type="pct"/>
            <w:tcBorders>
              <w:top w:val="nil"/>
              <w:left w:val="nil"/>
              <w:bottom w:val="nil"/>
              <w:right w:val="nil"/>
            </w:tcBorders>
            <w:shd w:val="clear" w:color="auto" w:fill="auto"/>
            <w:noWrap/>
            <w:vAlign w:val="bottom"/>
          </w:tcPr>
          <w:p w14:paraId="4F7975BD" w14:textId="0E6576E4" w:rsidR="0078286B" w:rsidRPr="00783BA0" w:rsidRDefault="0078286B" w:rsidP="007B48D5">
            <w:pPr>
              <w:jc w:val="right"/>
              <w:rPr>
                <w:color w:val="000000"/>
                <w:sz w:val="18"/>
                <w:szCs w:val="18"/>
                <w:lang w:eastAsia="en-GB"/>
              </w:rPr>
            </w:pPr>
            <w:r w:rsidRPr="00783BA0">
              <w:rPr>
                <w:color w:val="000000"/>
                <w:sz w:val="18"/>
                <w:szCs w:val="18"/>
                <w:lang w:eastAsia="en-GB"/>
              </w:rPr>
              <w:t>12,939,727</w:t>
            </w:r>
          </w:p>
        </w:tc>
      </w:tr>
      <w:tr w:rsidR="0078286B" w:rsidRPr="00EC690A" w14:paraId="6B9168B7" w14:textId="77777777" w:rsidTr="0078286B">
        <w:trPr>
          <w:trHeight w:val="300"/>
        </w:trPr>
        <w:tc>
          <w:tcPr>
            <w:tcW w:w="1935" w:type="pct"/>
            <w:tcBorders>
              <w:top w:val="nil"/>
              <w:left w:val="nil"/>
              <w:bottom w:val="nil"/>
              <w:right w:val="nil"/>
            </w:tcBorders>
            <w:shd w:val="clear" w:color="auto" w:fill="auto"/>
            <w:noWrap/>
            <w:vAlign w:val="bottom"/>
          </w:tcPr>
          <w:p w14:paraId="7956BD86" w14:textId="253AF7CC" w:rsidR="0078286B" w:rsidRPr="0078286B" w:rsidRDefault="0078286B" w:rsidP="0078286B">
            <w:pPr>
              <w:pStyle w:val="ListParagraph"/>
              <w:numPr>
                <w:ilvl w:val="0"/>
                <w:numId w:val="16"/>
              </w:numPr>
              <w:ind w:left="34" w:firstLine="0"/>
              <w:rPr>
                <w:i/>
                <w:iCs/>
                <w:color w:val="000000"/>
                <w:sz w:val="18"/>
                <w:szCs w:val="18"/>
                <w:lang w:eastAsia="en-GB"/>
              </w:rPr>
            </w:pPr>
            <w:r w:rsidRPr="0078286B">
              <w:rPr>
                <w:i/>
                <w:iCs/>
                <w:color w:val="000000"/>
                <w:sz w:val="18"/>
                <w:szCs w:val="18"/>
                <w:lang w:eastAsia="en-GB"/>
              </w:rPr>
              <w:t>companies controlled by the shareholder</w:t>
            </w:r>
          </w:p>
        </w:tc>
        <w:tc>
          <w:tcPr>
            <w:tcW w:w="807" w:type="pct"/>
            <w:tcBorders>
              <w:top w:val="nil"/>
              <w:left w:val="nil"/>
              <w:bottom w:val="nil"/>
              <w:right w:val="nil"/>
            </w:tcBorders>
            <w:shd w:val="clear" w:color="auto" w:fill="auto"/>
            <w:noWrap/>
            <w:vAlign w:val="bottom"/>
          </w:tcPr>
          <w:p w14:paraId="0FB1BE1C" w14:textId="252F54D4" w:rsidR="0078286B" w:rsidRPr="00783BA0" w:rsidRDefault="001D4A51" w:rsidP="007B48D5">
            <w:pPr>
              <w:jc w:val="right"/>
              <w:rPr>
                <w:b/>
                <w:bCs/>
                <w:i/>
                <w:iCs/>
                <w:color w:val="000000"/>
                <w:sz w:val="18"/>
                <w:szCs w:val="18"/>
                <w:lang w:val="ru-RU"/>
              </w:rPr>
            </w:pPr>
            <w:r w:rsidRPr="00783BA0">
              <w:rPr>
                <w:b/>
                <w:bCs/>
                <w:i/>
                <w:iCs/>
                <w:color w:val="000000"/>
                <w:sz w:val="18"/>
                <w:szCs w:val="18"/>
              </w:rPr>
              <w:t>68,743</w:t>
            </w:r>
          </w:p>
        </w:tc>
        <w:tc>
          <w:tcPr>
            <w:tcW w:w="725" w:type="pct"/>
            <w:tcBorders>
              <w:top w:val="nil"/>
              <w:left w:val="nil"/>
              <w:bottom w:val="nil"/>
              <w:right w:val="nil"/>
            </w:tcBorders>
            <w:shd w:val="clear" w:color="auto" w:fill="auto"/>
            <w:noWrap/>
            <w:vAlign w:val="bottom"/>
          </w:tcPr>
          <w:p w14:paraId="30D6F889" w14:textId="77777777" w:rsidR="0078286B" w:rsidRPr="00783BA0" w:rsidRDefault="0078286B" w:rsidP="007B48D5">
            <w:pPr>
              <w:jc w:val="right"/>
              <w:rPr>
                <w:b/>
                <w:bCs/>
                <w:color w:val="000000"/>
                <w:sz w:val="18"/>
                <w:szCs w:val="18"/>
                <w:lang w:eastAsia="en-GB"/>
              </w:rPr>
            </w:pPr>
          </w:p>
        </w:tc>
        <w:tc>
          <w:tcPr>
            <w:tcW w:w="807" w:type="pct"/>
            <w:tcBorders>
              <w:top w:val="nil"/>
              <w:left w:val="nil"/>
              <w:bottom w:val="nil"/>
              <w:right w:val="nil"/>
            </w:tcBorders>
            <w:shd w:val="clear" w:color="auto" w:fill="auto"/>
            <w:noWrap/>
            <w:vAlign w:val="bottom"/>
          </w:tcPr>
          <w:p w14:paraId="42097ABC" w14:textId="0445DA4A" w:rsidR="0078286B" w:rsidRPr="00783BA0" w:rsidRDefault="0078286B" w:rsidP="007B48D5">
            <w:pPr>
              <w:jc w:val="right"/>
              <w:rPr>
                <w:i/>
                <w:iCs/>
                <w:color w:val="000000"/>
                <w:sz w:val="18"/>
                <w:szCs w:val="18"/>
              </w:rPr>
            </w:pPr>
            <w:r w:rsidRPr="00783BA0">
              <w:rPr>
                <w:i/>
                <w:iCs/>
                <w:color w:val="000000"/>
                <w:sz w:val="18"/>
                <w:szCs w:val="18"/>
              </w:rPr>
              <w:t>65,875</w:t>
            </w:r>
          </w:p>
        </w:tc>
        <w:tc>
          <w:tcPr>
            <w:tcW w:w="725" w:type="pct"/>
            <w:tcBorders>
              <w:top w:val="nil"/>
              <w:left w:val="nil"/>
              <w:bottom w:val="nil"/>
              <w:right w:val="nil"/>
            </w:tcBorders>
            <w:shd w:val="clear" w:color="auto" w:fill="auto"/>
            <w:noWrap/>
            <w:vAlign w:val="bottom"/>
          </w:tcPr>
          <w:p w14:paraId="00B64568" w14:textId="77777777" w:rsidR="0078286B" w:rsidRPr="00783BA0" w:rsidRDefault="0078286B" w:rsidP="007B48D5">
            <w:pPr>
              <w:jc w:val="right"/>
              <w:rPr>
                <w:color w:val="000000"/>
                <w:sz w:val="18"/>
                <w:szCs w:val="18"/>
                <w:lang w:eastAsia="en-GB"/>
              </w:rPr>
            </w:pPr>
          </w:p>
        </w:tc>
      </w:tr>
      <w:tr w:rsidR="0078286B" w:rsidRPr="00EC690A" w14:paraId="47C4D105" w14:textId="77777777" w:rsidTr="0078286B">
        <w:trPr>
          <w:trHeight w:val="300"/>
        </w:trPr>
        <w:tc>
          <w:tcPr>
            <w:tcW w:w="1935" w:type="pct"/>
            <w:tcBorders>
              <w:top w:val="nil"/>
              <w:left w:val="nil"/>
              <w:bottom w:val="nil"/>
              <w:right w:val="nil"/>
            </w:tcBorders>
            <w:shd w:val="clear" w:color="auto" w:fill="auto"/>
            <w:noWrap/>
            <w:vAlign w:val="bottom"/>
          </w:tcPr>
          <w:p w14:paraId="0426C583" w14:textId="48F6710F" w:rsidR="0078286B" w:rsidRPr="0078286B" w:rsidRDefault="0078286B" w:rsidP="0078286B">
            <w:pPr>
              <w:pStyle w:val="ListParagraph"/>
              <w:ind w:left="34"/>
              <w:rPr>
                <w:color w:val="000000"/>
                <w:sz w:val="18"/>
                <w:szCs w:val="18"/>
                <w:lang w:eastAsia="en-GB"/>
              </w:rPr>
            </w:pPr>
            <w:r>
              <w:rPr>
                <w:color w:val="000000"/>
                <w:sz w:val="18"/>
                <w:szCs w:val="18"/>
                <w:lang w:eastAsia="en-GB"/>
              </w:rPr>
              <w:t>Claims paid</w:t>
            </w:r>
          </w:p>
        </w:tc>
        <w:tc>
          <w:tcPr>
            <w:tcW w:w="807" w:type="pct"/>
            <w:tcBorders>
              <w:top w:val="nil"/>
              <w:left w:val="nil"/>
              <w:bottom w:val="nil"/>
              <w:right w:val="nil"/>
            </w:tcBorders>
            <w:shd w:val="clear" w:color="auto" w:fill="auto"/>
            <w:noWrap/>
            <w:vAlign w:val="bottom"/>
          </w:tcPr>
          <w:p w14:paraId="5E73E624" w14:textId="77777777" w:rsidR="0078286B" w:rsidRPr="00783BA0" w:rsidRDefault="0078286B" w:rsidP="007B48D5">
            <w:pPr>
              <w:jc w:val="right"/>
              <w:rPr>
                <w:b/>
                <w:bCs/>
                <w:i/>
                <w:iCs/>
                <w:color w:val="000000"/>
                <w:sz w:val="18"/>
                <w:szCs w:val="18"/>
              </w:rPr>
            </w:pPr>
          </w:p>
        </w:tc>
        <w:tc>
          <w:tcPr>
            <w:tcW w:w="725" w:type="pct"/>
            <w:tcBorders>
              <w:top w:val="nil"/>
              <w:left w:val="nil"/>
              <w:bottom w:val="nil"/>
              <w:right w:val="nil"/>
            </w:tcBorders>
            <w:shd w:val="clear" w:color="auto" w:fill="auto"/>
            <w:noWrap/>
            <w:vAlign w:val="bottom"/>
          </w:tcPr>
          <w:p w14:paraId="1F50CBB8" w14:textId="418FAB31" w:rsidR="0078286B" w:rsidRPr="00783BA0" w:rsidRDefault="009B04A8" w:rsidP="007B48D5">
            <w:pPr>
              <w:jc w:val="right"/>
              <w:rPr>
                <w:b/>
                <w:bCs/>
                <w:color w:val="000000"/>
                <w:sz w:val="18"/>
                <w:szCs w:val="18"/>
                <w:lang w:eastAsia="en-GB"/>
              </w:rPr>
            </w:pPr>
            <w:r w:rsidRPr="00783BA0">
              <w:rPr>
                <w:b/>
                <w:bCs/>
                <w:color w:val="000000"/>
                <w:sz w:val="18"/>
                <w:szCs w:val="18"/>
                <w:lang w:eastAsia="en-GB"/>
              </w:rPr>
              <w:t>(8,537,942)</w:t>
            </w:r>
          </w:p>
        </w:tc>
        <w:tc>
          <w:tcPr>
            <w:tcW w:w="807" w:type="pct"/>
            <w:tcBorders>
              <w:top w:val="nil"/>
              <w:left w:val="nil"/>
              <w:bottom w:val="nil"/>
              <w:right w:val="nil"/>
            </w:tcBorders>
            <w:shd w:val="clear" w:color="auto" w:fill="auto"/>
            <w:noWrap/>
            <w:vAlign w:val="bottom"/>
          </w:tcPr>
          <w:p w14:paraId="79A4271C" w14:textId="77777777" w:rsidR="0078286B" w:rsidRPr="00783BA0" w:rsidRDefault="0078286B" w:rsidP="007B48D5">
            <w:pPr>
              <w:jc w:val="right"/>
              <w:rPr>
                <w:i/>
                <w:iCs/>
                <w:color w:val="000000"/>
                <w:sz w:val="18"/>
                <w:szCs w:val="18"/>
              </w:rPr>
            </w:pPr>
          </w:p>
        </w:tc>
        <w:tc>
          <w:tcPr>
            <w:tcW w:w="725" w:type="pct"/>
            <w:tcBorders>
              <w:top w:val="nil"/>
              <w:left w:val="nil"/>
              <w:bottom w:val="nil"/>
              <w:right w:val="nil"/>
            </w:tcBorders>
            <w:shd w:val="clear" w:color="auto" w:fill="auto"/>
            <w:noWrap/>
            <w:vAlign w:val="bottom"/>
          </w:tcPr>
          <w:p w14:paraId="297D5223" w14:textId="69F42299" w:rsidR="0078286B" w:rsidRPr="00783BA0" w:rsidRDefault="0078286B" w:rsidP="007B48D5">
            <w:pPr>
              <w:jc w:val="right"/>
              <w:rPr>
                <w:color w:val="000000"/>
                <w:sz w:val="18"/>
                <w:szCs w:val="18"/>
                <w:lang w:eastAsia="en-GB"/>
              </w:rPr>
            </w:pPr>
            <w:r w:rsidRPr="00783BA0">
              <w:rPr>
                <w:color w:val="000000"/>
                <w:sz w:val="18"/>
                <w:szCs w:val="18"/>
                <w:lang w:eastAsia="en-GB"/>
              </w:rPr>
              <w:t>(8,064,436)</w:t>
            </w:r>
          </w:p>
        </w:tc>
      </w:tr>
      <w:tr w:rsidR="0078286B" w:rsidRPr="00EC690A" w14:paraId="47801771" w14:textId="77777777" w:rsidTr="0078286B">
        <w:trPr>
          <w:trHeight w:val="300"/>
        </w:trPr>
        <w:tc>
          <w:tcPr>
            <w:tcW w:w="1935" w:type="pct"/>
            <w:tcBorders>
              <w:top w:val="nil"/>
              <w:left w:val="nil"/>
              <w:bottom w:val="nil"/>
              <w:right w:val="nil"/>
            </w:tcBorders>
            <w:shd w:val="clear" w:color="auto" w:fill="auto"/>
            <w:noWrap/>
            <w:vAlign w:val="bottom"/>
          </w:tcPr>
          <w:p w14:paraId="2B2F2E20" w14:textId="51C3FDCA" w:rsidR="0078286B" w:rsidRPr="0078286B" w:rsidRDefault="0078286B" w:rsidP="0078286B">
            <w:pPr>
              <w:pStyle w:val="ListParagraph"/>
              <w:numPr>
                <w:ilvl w:val="0"/>
                <w:numId w:val="16"/>
              </w:numPr>
              <w:ind w:left="34" w:firstLine="0"/>
              <w:rPr>
                <w:i/>
                <w:iCs/>
                <w:color w:val="000000"/>
                <w:sz w:val="18"/>
                <w:szCs w:val="18"/>
                <w:lang w:eastAsia="en-GB"/>
              </w:rPr>
            </w:pPr>
            <w:r w:rsidRPr="0078286B">
              <w:rPr>
                <w:i/>
                <w:iCs/>
                <w:color w:val="000000"/>
                <w:sz w:val="18"/>
                <w:szCs w:val="18"/>
                <w:lang w:eastAsia="en-GB"/>
              </w:rPr>
              <w:t>companies controlled by the shareholder</w:t>
            </w:r>
          </w:p>
        </w:tc>
        <w:tc>
          <w:tcPr>
            <w:tcW w:w="807" w:type="pct"/>
            <w:tcBorders>
              <w:top w:val="nil"/>
              <w:left w:val="nil"/>
              <w:bottom w:val="nil"/>
              <w:right w:val="nil"/>
            </w:tcBorders>
            <w:shd w:val="clear" w:color="auto" w:fill="auto"/>
            <w:noWrap/>
            <w:vAlign w:val="bottom"/>
          </w:tcPr>
          <w:p w14:paraId="4C094163" w14:textId="0D6C90CE" w:rsidR="0078286B" w:rsidRPr="00783BA0" w:rsidRDefault="0036449F" w:rsidP="007B48D5">
            <w:pPr>
              <w:jc w:val="right"/>
              <w:rPr>
                <w:b/>
                <w:bCs/>
                <w:i/>
                <w:iCs/>
                <w:color w:val="000000"/>
                <w:sz w:val="18"/>
                <w:szCs w:val="18"/>
              </w:rPr>
            </w:pPr>
            <w:r w:rsidRPr="00783BA0">
              <w:rPr>
                <w:b/>
                <w:bCs/>
                <w:i/>
                <w:iCs/>
                <w:color w:val="000000"/>
                <w:sz w:val="18"/>
                <w:szCs w:val="18"/>
              </w:rPr>
              <w:t>(3,</w:t>
            </w:r>
            <w:r w:rsidR="004C48C1" w:rsidRPr="00783BA0">
              <w:rPr>
                <w:b/>
                <w:bCs/>
                <w:i/>
                <w:iCs/>
                <w:color w:val="000000"/>
                <w:sz w:val="18"/>
                <w:szCs w:val="18"/>
              </w:rPr>
              <w:t>096,825</w:t>
            </w:r>
            <w:r w:rsidRPr="00783BA0">
              <w:rPr>
                <w:b/>
                <w:bCs/>
                <w:i/>
                <w:iCs/>
                <w:color w:val="000000"/>
                <w:sz w:val="18"/>
                <w:szCs w:val="18"/>
              </w:rPr>
              <w:t>)</w:t>
            </w:r>
          </w:p>
        </w:tc>
        <w:tc>
          <w:tcPr>
            <w:tcW w:w="725" w:type="pct"/>
            <w:tcBorders>
              <w:top w:val="nil"/>
              <w:left w:val="nil"/>
              <w:bottom w:val="nil"/>
              <w:right w:val="nil"/>
            </w:tcBorders>
            <w:shd w:val="clear" w:color="auto" w:fill="auto"/>
            <w:noWrap/>
            <w:vAlign w:val="bottom"/>
          </w:tcPr>
          <w:p w14:paraId="1A1E62E9" w14:textId="77777777" w:rsidR="0078286B" w:rsidRPr="00783BA0" w:rsidRDefault="0078286B" w:rsidP="007B48D5">
            <w:pPr>
              <w:jc w:val="right"/>
              <w:rPr>
                <w:b/>
                <w:bCs/>
                <w:color w:val="000000"/>
                <w:sz w:val="18"/>
                <w:szCs w:val="18"/>
                <w:lang w:eastAsia="en-GB"/>
              </w:rPr>
            </w:pPr>
          </w:p>
        </w:tc>
        <w:tc>
          <w:tcPr>
            <w:tcW w:w="807" w:type="pct"/>
            <w:tcBorders>
              <w:top w:val="nil"/>
              <w:left w:val="nil"/>
              <w:bottom w:val="nil"/>
              <w:right w:val="nil"/>
            </w:tcBorders>
            <w:shd w:val="clear" w:color="auto" w:fill="auto"/>
            <w:noWrap/>
            <w:vAlign w:val="bottom"/>
          </w:tcPr>
          <w:p w14:paraId="1AC5465C" w14:textId="73EB9D35" w:rsidR="0078286B" w:rsidRPr="00783BA0" w:rsidRDefault="0078286B" w:rsidP="007B48D5">
            <w:pPr>
              <w:jc w:val="right"/>
              <w:rPr>
                <w:i/>
                <w:iCs/>
                <w:color w:val="000000"/>
                <w:sz w:val="18"/>
                <w:szCs w:val="18"/>
              </w:rPr>
            </w:pPr>
            <w:r w:rsidRPr="00783BA0">
              <w:rPr>
                <w:i/>
                <w:iCs/>
                <w:color w:val="000000"/>
                <w:sz w:val="18"/>
                <w:szCs w:val="18"/>
              </w:rPr>
              <w:t>(2,730,592)</w:t>
            </w:r>
          </w:p>
        </w:tc>
        <w:tc>
          <w:tcPr>
            <w:tcW w:w="725" w:type="pct"/>
            <w:tcBorders>
              <w:top w:val="nil"/>
              <w:left w:val="nil"/>
              <w:bottom w:val="nil"/>
              <w:right w:val="nil"/>
            </w:tcBorders>
            <w:shd w:val="clear" w:color="auto" w:fill="auto"/>
            <w:noWrap/>
            <w:vAlign w:val="bottom"/>
          </w:tcPr>
          <w:p w14:paraId="1D28F65D" w14:textId="77777777" w:rsidR="0078286B" w:rsidRPr="00783BA0" w:rsidRDefault="0078286B" w:rsidP="007B48D5">
            <w:pPr>
              <w:jc w:val="right"/>
              <w:rPr>
                <w:color w:val="000000"/>
                <w:sz w:val="18"/>
                <w:szCs w:val="18"/>
                <w:lang w:eastAsia="en-GB"/>
              </w:rPr>
            </w:pPr>
          </w:p>
        </w:tc>
      </w:tr>
      <w:tr w:rsidR="00200A1E" w:rsidRPr="00EC690A" w14:paraId="36F5499F" w14:textId="77777777" w:rsidTr="0078286B">
        <w:trPr>
          <w:trHeight w:val="300"/>
        </w:trPr>
        <w:tc>
          <w:tcPr>
            <w:tcW w:w="1935" w:type="pct"/>
            <w:tcBorders>
              <w:top w:val="nil"/>
              <w:left w:val="nil"/>
              <w:bottom w:val="nil"/>
              <w:right w:val="nil"/>
            </w:tcBorders>
            <w:shd w:val="clear" w:color="auto" w:fill="auto"/>
            <w:noWrap/>
            <w:vAlign w:val="bottom"/>
            <w:hideMark/>
          </w:tcPr>
          <w:p w14:paraId="399927FC" w14:textId="77777777" w:rsidR="00200A1E" w:rsidRPr="00EC690A" w:rsidRDefault="00200A1E" w:rsidP="007B48D5">
            <w:pPr>
              <w:rPr>
                <w:color w:val="000000"/>
                <w:sz w:val="18"/>
                <w:szCs w:val="18"/>
                <w:lang w:eastAsia="en-GB"/>
              </w:rPr>
            </w:pPr>
            <w:r w:rsidRPr="00EC690A">
              <w:rPr>
                <w:color w:val="000000"/>
                <w:sz w:val="18"/>
                <w:szCs w:val="18"/>
                <w:lang w:eastAsia="en-GB"/>
              </w:rPr>
              <w:t>Operating expenses</w:t>
            </w:r>
          </w:p>
        </w:tc>
        <w:tc>
          <w:tcPr>
            <w:tcW w:w="807" w:type="pct"/>
            <w:tcBorders>
              <w:top w:val="nil"/>
              <w:left w:val="nil"/>
              <w:bottom w:val="nil"/>
              <w:right w:val="nil"/>
            </w:tcBorders>
            <w:shd w:val="clear" w:color="auto" w:fill="auto"/>
            <w:noWrap/>
            <w:vAlign w:val="bottom"/>
          </w:tcPr>
          <w:p w14:paraId="439FB2E2" w14:textId="77777777" w:rsidR="00200A1E" w:rsidRPr="00783BA0" w:rsidRDefault="00200A1E" w:rsidP="007B48D5">
            <w:pPr>
              <w:jc w:val="right"/>
              <w:rPr>
                <w:b/>
                <w:bCs/>
                <w:i/>
                <w:iCs/>
                <w:color w:val="000000"/>
                <w:sz w:val="18"/>
                <w:szCs w:val="18"/>
                <w:lang w:eastAsia="en-GB"/>
              </w:rPr>
            </w:pPr>
          </w:p>
        </w:tc>
        <w:tc>
          <w:tcPr>
            <w:tcW w:w="725" w:type="pct"/>
            <w:tcBorders>
              <w:top w:val="nil"/>
              <w:left w:val="nil"/>
              <w:bottom w:val="nil"/>
              <w:right w:val="nil"/>
            </w:tcBorders>
            <w:shd w:val="clear" w:color="auto" w:fill="auto"/>
            <w:noWrap/>
            <w:vAlign w:val="bottom"/>
          </w:tcPr>
          <w:p w14:paraId="609E54C0" w14:textId="7306795A" w:rsidR="00200A1E" w:rsidRPr="00783BA0" w:rsidRDefault="0036449F" w:rsidP="007B48D5">
            <w:pPr>
              <w:jc w:val="right"/>
              <w:rPr>
                <w:b/>
                <w:bCs/>
                <w:color w:val="000000"/>
                <w:sz w:val="18"/>
                <w:szCs w:val="18"/>
                <w:lang w:eastAsia="en-GB"/>
              </w:rPr>
            </w:pPr>
            <w:r w:rsidRPr="00783BA0">
              <w:rPr>
                <w:b/>
                <w:bCs/>
                <w:color w:val="000000"/>
                <w:sz w:val="18"/>
                <w:szCs w:val="18"/>
                <w:lang w:eastAsia="en-GB"/>
              </w:rPr>
              <w:t>(2,135,053)</w:t>
            </w:r>
          </w:p>
        </w:tc>
        <w:tc>
          <w:tcPr>
            <w:tcW w:w="807" w:type="pct"/>
            <w:tcBorders>
              <w:top w:val="nil"/>
              <w:left w:val="nil"/>
              <w:bottom w:val="nil"/>
              <w:right w:val="nil"/>
            </w:tcBorders>
            <w:shd w:val="clear" w:color="auto" w:fill="auto"/>
            <w:noWrap/>
            <w:vAlign w:val="bottom"/>
            <w:hideMark/>
          </w:tcPr>
          <w:p w14:paraId="352642FC" w14:textId="77777777" w:rsidR="00200A1E" w:rsidRPr="00783BA0" w:rsidRDefault="00200A1E" w:rsidP="007B48D5">
            <w:pPr>
              <w:jc w:val="right"/>
              <w:rPr>
                <w:i/>
                <w:iCs/>
                <w:color w:val="000000"/>
                <w:sz w:val="18"/>
                <w:szCs w:val="18"/>
                <w:lang w:eastAsia="en-GB"/>
              </w:rPr>
            </w:pPr>
          </w:p>
        </w:tc>
        <w:tc>
          <w:tcPr>
            <w:tcW w:w="725" w:type="pct"/>
            <w:tcBorders>
              <w:top w:val="nil"/>
              <w:left w:val="nil"/>
              <w:bottom w:val="nil"/>
              <w:right w:val="nil"/>
            </w:tcBorders>
            <w:shd w:val="clear" w:color="auto" w:fill="auto"/>
            <w:noWrap/>
            <w:vAlign w:val="bottom"/>
          </w:tcPr>
          <w:p w14:paraId="17E49358" w14:textId="3D0D8281" w:rsidR="00200A1E" w:rsidRPr="00783BA0" w:rsidRDefault="0078286B" w:rsidP="007B48D5">
            <w:pPr>
              <w:jc w:val="right"/>
              <w:rPr>
                <w:color w:val="000000"/>
                <w:sz w:val="18"/>
                <w:szCs w:val="18"/>
                <w:lang w:eastAsia="en-GB"/>
              </w:rPr>
            </w:pPr>
            <w:r w:rsidRPr="00783BA0">
              <w:rPr>
                <w:color w:val="000000"/>
                <w:sz w:val="18"/>
                <w:szCs w:val="18"/>
                <w:lang w:eastAsia="en-GB"/>
              </w:rPr>
              <w:t>(1,858,910)</w:t>
            </w:r>
          </w:p>
        </w:tc>
      </w:tr>
      <w:tr w:rsidR="00200A1E" w:rsidRPr="00EC690A" w14:paraId="18324C16" w14:textId="77777777" w:rsidTr="0078286B">
        <w:trPr>
          <w:trHeight w:val="300"/>
        </w:trPr>
        <w:tc>
          <w:tcPr>
            <w:tcW w:w="1935" w:type="pct"/>
            <w:tcBorders>
              <w:top w:val="nil"/>
              <w:left w:val="nil"/>
              <w:bottom w:val="nil"/>
              <w:right w:val="nil"/>
            </w:tcBorders>
            <w:shd w:val="clear" w:color="auto" w:fill="auto"/>
            <w:noWrap/>
            <w:vAlign w:val="bottom"/>
            <w:hideMark/>
          </w:tcPr>
          <w:p w14:paraId="7B162A81" w14:textId="13D9904B" w:rsidR="00200A1E" w:rsidRPr="0078286B" w:rsidRDefault="00200A1E" w:rsidP="0078286B">
            <w:pPr>
              <w:pStyle w:val="ListParagraph"/>
              <w:numPr>
                <w:ilvl w:val="0"/>
                <w:numId w:val="16"/>
              </w:numPr>
              <w:ind w:left="34" w:firstLine="0"/>
              <w:rPr>
                <w:i/>
                <w:iCs/>
                <w:color w:val="000000"/>
                <w:sz w:val="18"/>
                <w:szCs w:val="18"/>
                <w:lang w:eastAsia="en-GB"/>
              </w:rPr>
            </w:pPr>
            <w:r w:rsidRPr="0078286B">
              <w:rPr>
                <w:i/>
                <w:iCs/>
                <w:color w:val="000000"/>
                <w:sz w:val="18"/>
                <w:szCs w:val="18"/>
                <w:lang w:eastAsia="en-GB"/>
              </w:rPr>
              <w:t>key management personnel</w:t>
            </w:r>
          </w:p>
        </w:tc>
        <w:tc>
          <w:tcPr>
            <w:tcW w:w="807" w:type="pct"/>
            <w:tcBorders>
              <w:top w:val="nil"/>
              <w:left w:val="nil"/>
              <w:bottom w:val="nil"/>
              <w:right w:val="nil"/>
            </w:tcBorders>
            <w:shd w:val="clear" w:color="auto" w:fill="auto"/>
            <w:noWrap/>
            <w:vAlign w:val="bottom"/>
          </w:tcPr>
          <w:p w14:paraId="1C699D96" w14:textId="62CD957D" w:rsidR="00200A1E" w:rsidRPr="00783BA0" w:rsidRDefault="00C603D4" w:rsidP="007B48D5">
            <w:pPr>
              <w:jc w:val="right"/>
              <w:rPr>
                <w:b/>
                <w:bCs/>
                <w:i/>
                <w:iCs/>
                <w:color w:val="000000"/>
                <w:sz w:val="18"/>
                <w:szCs w:val="18"/>
                <w:lang w:val="en-US" w:eastAsia="en-GB"/>
              </w:rPr>
            </w:pPr>
            <w:r w:rsidRPr="00783BA0">
              <w:rPr>
                <w:b/>
                <w:bCs/>
                <w:i/>
                <w:iCs/>
                <w:color w:val="000000"/>
                <w:sz w:val="18"/>
                <w:szCs w:val="18"/>
                <w:lang w:val="en-US" w:eastAsia="en-GB"/>
              </w:rPr>
              <w:t>(</w:t>
            </w:r>
            <w:r w:rsidR="001D4A51" w:rsidRPr="00783BA0">
              <w:rPr>
                <w:b/>
                <w:bCs/>
                <w:i/>
                <w:iCs/>
                <w:color w:val="000000"/>
                <w:sz w:val="18"/>
                <w:szCs w:val="18"/>
                <w:lang w:val="ru-RU" w:eastAsia="en-GB"/>
              </w:rPr>
              <w:t>127</w:t>
            </w:r>
            <w:r w:rsidRPr="00783BA0">
              <w:rPr>
                <w:b/>
                <w:bCs/>
                <w:i/>
                <w:iCs/>
                <w:color w:val="000000"/>
                <w:sz w:val="18"/>
                <w:szCs w:val="18"/>
                <w:lang w:val="en-US" w:eastAsia="en-GB"/>
              </w:rPr>
              <w:t>,</w:t>
            </w:r>
            <w:r w:rsidR="001D4A51" w:rsidRPr="00783BA0">
              <w:rPr>
                <w:b/>
                <w:bCs/>
                <w:i/>
                <w:iCs/>
                <w:color w:val="000000"/>
                <w:sz w:val="18"/>
                <w:szCs w:val="18"/>
                <w:lang w:val="ru-RU" w:eastAsia="en-GB"/>
              </w:rPr>
              <w:t>218</w:t>
            </w:r>
            <w:r w:rsidRPr="00783BA0">
              <w:rPr>
                <w:b/>
                <w:bCs/>
                <w:i/>
                <w:iCs/>
                <w:color w:val="000000"/>
                <w:sz w:val="18"/>
                <w:szCs w:val="18"/>
                <w:lang w:val="en-US" w:eastAsia="en-GB"/>
              </w:rPr>
              <w:t>)</w:t>
            </w:r>
          </w:p>
        </w:tc>
        <w:tc>
          <w:tcPr>
            <w:tcW w:w="725" w:type="pct"/>
            <w:tcBorders>
              <w:top w:val="nil"/>
              <w:left w:val="nil"/>
              <w:bottom w:val="nil"/>
              <w:right w:val="nil"/>
            </w:tcBorders>
            <w:shd w:val="clear" w:color="auto" w:fill="auto"/>
            <w:noWrap/>
            <w:vAlign w:val="bottom"/>
          </w:tcPr>
          <w:p w14:paraId="1ACF4DC0" w14:textId="77777777" w:rsidR="00200A1E" w:rsidRPr="00783BA0" w:rsidRDefault="00200A1E" w:rsidP="007B48D5">
            <w:pPr>
              <w:jc w:val="right"/>
              <w:rPr>
                <w:b/>
                <w:bCs/>
                <w:color w:val="000000"/>
                <w:sz w:val="18"/>
                <w:szCs w:val="18"/>
                <w:lang w:eastAsia="en-GB"/>
              </w:rPr>
            </w:pPr>
          </w:p>
        </w:tc>
        <w:tc>
          <w:tcPr>
            <w:tcW w:w="807" w:type="pct"/>
            <w:tcBorders>
              <w:top w:val="nil"/>
              <w:left w:val="nil"/>
              <w:bottom w:val="nil"/>
              <w:right w:val="nil"/>
            </w:tcBorders>
            <w:shd w:val="clear" w:color="auto" w:fill="auto"/>
            <w:noWrap/>
            <w:vAlign w:val="bottom"/>
          </w:tcPr>
          <w:p w14:paraId="1DE67274" w14:textId="2F0AC99A" w:rsidR="00200A1E" w:rsidRPr="00783BA0" w:rsidRDefault="0078286B" w:rsidP="007B48D5">
            <w:pPr>
              <w:jc w:val="right"/>
              <w:rPr>
                <w:i/>
                <w:iCs/>
                <w:color w:val="000000"/>
                <w:sz w:val="18"/>
                <w:szCs w:val="18"/>
                <w:lang w:eastAsia="en-GB"/>
              </w:rPr>
            </w:pPr>
            <w:r w:rsidRPr="00783BA0">
              <w:rPr>
                <w:i/>
                <w:iCs/>
                <w:color w:val="000000"/>
                <w:sz w:val="18"/>
                <w:szCs w:val="18"/>
                <w:lang w:eastAsia="en-GB"/>
              </w:rPr>
              <w:t>(204,394)</w:t>
            </w:r>
          </w:p>
        </w:tc>
        <w:tc>
          <w:tcPr>
            <w:tcW w:w="725" w:type="pct"/>
            <w:tcBorders>
              <w:top w:val="nil"/>
              <w:left w:val="nil"/>
              <w:bottom w:val="nil"/>
              <w:right w:val="nil"/>
            </w:tcBorders>
            <w:shd w:val="clear" w:color="auto" w:fill="auto"/>
            <w:noWrap/>
            <w:vAlign w:val="bottom"/>
          </w:tcPr>
          <w:p w14:paraId="2CC18C5B" w14:textId="77777777" w:rsidR="00200A1E" w:rsidRPr="00783BA0" w:rsidRDefault="00200A1E" w:rsidP="007B48D5">
            <w:pPr>
              <w:jc w:val="right"/>
              <w:rPr>
                <w:color w:val="000000"/>
                <w:sz w:val="18"/>
                <w:szCs w:val="18"/>
                <w:lang w:eastAsia="en-GB"/>
              </w:rPr>
            </w:pPr>
          </w:p>
        </w:tc>
      </w:tr>
      <w:tr w:rsidR="00C603D4" w:rsidRPr="00EC690A" w14:paraId="325F8EB7" w14:textId="77777777" w:rsidTr="0078286B">
        <w:trPr>
          <w:trHeight w:val="300"/>
        </w:trPr>
        <w:tc>
          <w:tcPr>
            <w:tcW w:w="1935" w:type="pct"/>
            <w:tcBorders>
              <w:top w:val="nil"/>
              <w:left w:val="nil"/>
              <w:bottom w:val="nil"/>
              <w:right w:val="nil"/>
            </w:tcBorders>
            <w:shd w:val="clear" w:color="auto" w:fill="auto"/>
            <w:noWrap/>
            <w:vAlign w:val="bottom"/>
          </w:tcPr>
          <w:p w14:paraId="67FE4E6C" w14:textId="425DAE57" w:rsidR="00C603D4" w:rsidRPr="0078286B" w:rsidRDefault="00C603D4" w:rsidP="0078286B">
            <w:pPr>
              <w:pStyle w:val="ListParagraph"/>
              <w:numPr>
                <w:ilvl w:val="0"/>
                <w:numId w:val="16"/>
              </w:numPr>
              <w:ind w:left="34" w:firstLine="0"/>
              <w:rPr>
                <w:i/>
                <w:iCs/>
                <w:color w:val="000000"/>
                <w:sz w:val="18"/>
                <w:szCs w:val="18"/>
                <w:lang w:eastAsia="en-GB"/>
              </w:rPr>
            </w:pPr>
            <w:r w:rsidRPr="00C603D4">
              <w:rPr>
                <w:i/>
                <w:iCs/>
                <w:color w:val="000000"/>
                <w:sz w:val="18"/>
                <w:szCs w:val="18"/>
                <w:lang w:eastAsia="en-GB"/>
              </w:rPr>
              <w:t>companies controlled by the shareholder</w:t>
            </w:r>
          </w:p>
        </w:tc>
        <w:tc>
          <w:tcPr>
            <w:tcW w:w="807" w:type="pct"/>
            <w:tcBorders>
              <w:top w:val="nil"/>
              <w:left w:val="nil"/>
              <w:bottom w:val="nil"/>
              <w:right w:val="nil"/>
            </w:tcBorders>
            <w:shd w:val="clear" w:color="auto" w:fill="auto"/>
            <w:noWrap/>
            <w:vAlign w:val="bottom"/>
          </w:tcPr>
          <w:p w14:paraId="221369F1" w14:textId="1F942D97" w:rsidR="00C603D4" w:rsidRPr="00783BA0" w:rsidRDefault="00C603D4" w:rsidP="007B48D5">
            <w:pPr>
              <w:jc w:val="right"/>
              <w:rPr>
                <w:b/>
                <w:bCs/>
                <w:i/>
                <w:iCs/>
                <w:color w:val="000000"/>
                <w:sz w:val="18"/>
                <w:szCs w:val="18"/>
                <w:lang w:eastAsia="en-GB"/>
              </w:rPr>
            </w:pPr>
            <w:r w:rsidRPr="00783BA0">
              <w:rPr>
                <w:b/>
                <w:bCs/>
                <w:i/>
                <w:iCs/>
                <w:color w:val="000000"/>
                <w:sz w:val="18"/>
                <w:szCs w:val="18"/>
                <w:lang w:eastAsia="en-GB"/>
              </w:rPr>
              <w:t>(10,494)</w:t>
            </w:r>
          </w:p>
        </w:tc>
        <w:tc>
          <w:tcPr>
            <w:tcW w:w="725" w:type="pct"/>
            <w:tcBorders>
              <w:top w:val="nil"/>
              <w:left w:val="nil"/>
              <w:bottom w:val="nil"/>
              <w:right w:val="nil"/>
            </w:tcBorders>
            <w:shd w:val="clear" w:color="auto" w:fill="auto"/>
            <w:noWrap/>
            <w:vAlign w:val="bottom"/>
          </w:tcPr>
          <w:p w14:paraId="5DD3FAD2" w14:textId="77777777" w:rsidR="00C603D4" w:rsidRPr="00783BA0" w:rsidRDefault="00C603D4" w:rsidP="007B48D5">
            <w:pPr>
              <w:jc w:val="right"/>
              <w:rPr>
                <w:b/>
                <w:bCs/>
                <w:color w:val="000000"/>
                <w:sz w:val="18"/>
                <w:szCs w:val="18"/>
                <w:lang w:eastAsia="en-GB"/>
              </w:rPr>
            </w:pPr>
          </w:p>
        </w:tc>
        <w:tc>
          <w:tcPr>
            <w:tcW w:w="807" w:type="pct"/>
            <w:tcBorders>
              <w:top w:val="nil"/>
              <w:left w:val="nil"/>
              <w:bottom w:val="nil"/>
              <w:right w:val="nil"/>
            </w:tcBorders>
            <w:shd w:val="clear" w:color="auto" w:fill="auto"/>
            <w:noWrap/>
            <w:vAlign w:val="bottom"/>
          </w:tcPr>
          <w:p w14:paraId="284A33F1" w14:textId="480D6304" w:rsidR="00C603D4" w:rsidRPr="00783BA0" w:rsidRDefault="00C603D4" w:rsidP="007B48D5">
            <w:pPr>
              <w:jc w:val="right"/>
              <w:rPr>
                <w:i/>
                <w:iCs/>
                <w:color w:val="000000"/>
                <w:sz w:val="18"/>
                <w:szCs w:val="18"/>
                <w:lang w:val="ru-RU" w:eastAsia="en-GB"/>
              </w:rPr>
            </w:pPr>
            <w:r w:rsidRPr="00783BA0">
              <w:rPr>
                <w:i/>
                <w:iCs/>
                <w:color w:val="000000"/>
                <w:sz w:val="18"/>
                <w:szCs w:val="18"/>
                <w:lang w:eastAsia="en-GB"/>
              </w:rPr>
              <w:t>(5,564)</w:t>
            </w:r>
          </w:p>
        </w:tc>
        <w:tc>
          <w:tcPr>
            <w:tcW w:w="725" w:type="pct"/>
            <w:tcBorders>
              <w:top w:val="nil"/>
              <w:left w:val="nil"/>
              <w:bottom w:val="nil"/>
              <w:right w:val="nil"/>
            </w:tcBorders>
            <w:shd w:val="clear" w:color="auto" w:fill="auto"/>
            <w:noWrap/>
            <w:vAlign w:val="bottom"/>
          </w:tcPr>
          <w:p w14:paraId="41B75C5F" w14:textId="77777777" w:rsidR="00C603D4" w:rsidRPr="00783BA0" w:rsidRDefault="00C603D4" w:rsidP="007B48D5">
            <w:pPr>
              <w:jc w:val="right"/>
              <w:rPr>
                <w:color w:val="000000"/>
                <w:sz w:val="18"/>
                <w:szCs w:val="18"/>
                <w:lang w:eastAsia="en-GB"/>
              </w:rPr>
            </w:pPr>
          </w:p>
        </w:tc>
      </w:tr>
      <w:tr w:rsidR="00200A1E" w:rsidRPr="00EC690A" w14:paraId="319A3C4C" w14:textId="77777777" w:rsidTr="0078286B">
        <w:trPr>
          <w:trHeight w:val="300"/>
        </w:trPr>
        <w:tc>
          <w:tcPr>
            <w:tcW w:w="1935" w:type="pct"/>
            <w:tcBorders>
              <w:top w:val="nil"/>
              <w:left w:val="nil"/>
              <w:bottom w:val="nil"/>
              <w:right w:val="nil"/>
            </w:tcBorders>
            <w:shd w:val="clear" w:color="auto" w:fill="auto"/>
            <w:noWrap/>
            <w:vAlign w:val="bottom"/>
            <w:hideMark/>
          </w:tcPr>
          <w:p w14:paraId="5C9DB757" w14:textId="703D0F97" w:rsidR="00200A1E" w:rsidRPr="00EC690A" w:rsidRDefault="0078286B" w:rsidP="007B48D5">
            <w:pPr>
              <w:rPr>
                <w:color w:val="000000"/>
                <w:sz w:val="18"/>
                <w:szCs w:val="18"/>
                <w:lang w:eastAsia="en-GB"/>
              </w:rPr>
            </w:pPr>
            <w:r>
              <w:rPr>
                <w:color w:val="000000"/>
                <w:sz w:val="18"/>
                <w:szCs w:val="18"/>
                <w:lang w:eastAsia="en-GB"/>
              </w:rPr>
              <w:t>Interest income</w:t>
            </w:r>
          </w:p>
        </w:tc>
        <w:tc>
          <w:tcPr>
            <w:tcW w:w="807" w:type="pct"/>
            <w:tcBorders>
              <w:top w:val="nil"/>
              <w:left w:val="nil"/>
              <w:bottom w:val="nil"/>
              <w:right w:val="nil"/>
            </w:tcBorders>
            <w:shd w:val="clear" w:color="auto" w:fill="auto"/>
            <w:noWrap/>
            <w:vAlign w:val="bottom"/>
          </w:tcPr>
          <w:p w14:paraId="298F6C28" w14:textId="77777777" w:rsidR="00200A1E" w:rsidRPr="00783BA0" w:rsidRDefault="00200A1E" w:rsidP="007B48D5">
            <w:pPr>
              <w:jc w:val="right"/>
              <w:rPr>
                <w:b/>
                <w:bCs/>
                <w:i/>
                <w:iCs/>
                <w:color w:val="000000"/>
                <w:sz w:val="18"/>
                <w:szCs w:val="18"/>
                <w:lang w:eastAsia="en-GB"/>
              </w:rPr>
            </w:pPr>
          </w:p>
        </w:tc>
        <w:tc>
          <w:tcPr>
            <w:tcW w:w="725" w:type="pct"/>
            <w:tcBorders>
              <w:top w:val="nil"/>
              <w:left w:val="nil"/>
              <w:bottom w:val="nil"/>
              <w:right w:val="nil"/>
            </w:tcBorders>
            <w:shd w:val="clear" w:color="auto" w:fill="auto"/>
            <w:noWrap/>
            <w:vAlign w:val="bottom"/>
          </w:tcPr>
          <w:p w14:paraId="7E35156A" w14:textId="2FA343E1" w:rsidR="00200A1E" w:rsidRPr="00783BA0" w:rsidRDefault="009B04A8" w:rsidP="007B48D5">
            <w:pPr>
              <w:jc w:val="right"/>
              <w:rPr>
                <w:b/>
                <w:bCs/>
                <w:color w:val="000000"/>
                <w:sz w:val="18"/>
                <w:szCs w:val="18"/>
                <w:lang w:eastAsia="en-GB"/>
              </w:rPr>
            </w:pPr>
            <w:r w:rsidRPr="00783BA0">
              <w:rPr>
                <w:b/>
                <w:bCs/>
                <w:color w:val="000000"/>
                <w:sz w:val="18"/>
                <w:szCs w:val="18"/>
                <w:lang w:eastAsia="en-GB"/>
              </w:rPr>
              <w:t>260,819</w:t>
            </w:r>
          </w:p>
        </w:tc>
        <w:tc>
          <w:tcPr>
            <w:tcW w:w="807" w:type="pct"/>
            <w:tcBorders>
              <w:top w:val="nil"/>
              <w:left w:val="nil"/>
              <w:bottom w:val="nil"/>
              <w:right w:val="nil"/>
            </w:tcBorders>
            <w:shd w:val="clear" w:color="auto" w:fill="auto"/>
            <w:noWrap/>
            <w:vAlign w:val="bottom"/>
          </w:tcPr>
          <w:p w14:paraId="5583905F" w14:textId="77777777" w:rsidR="00200A1E" w:rsidRPr="00783BA0" w:rsidRDefault="00200A1E" w:rsidP="007B48D5">
            <w:pPr>
              <w:jc w:val="right"/>
              <w:rPr>
                <w:i/>
                <w:iCs/>
                <w:color w:val="000000"/>
                <w:sz w:val="18"/>
                <w:szCs w:val="18"/>
                <w:lang w:eastAsia="en-GB"/>
              </w:rPr>
            </w:pPr>
          </w:p>
        </w:tc>
        <w:tc>
          <w:tcPr>
            <w:tcW w:w="725" w:type="pct"/>
            <w:tcBorders>
              <w:top w:val="nil"/>
              <w:left w:val="nil"/>
              <w:bottom w:val="nil"/>
              <w:right w:val="nil"/>
            </w:tcBorders>
            <w:shd w:val="clear" w:color="auto" w:fill="auto"/>
            <w:noWrap/>
            <w:vAlign w:val="bottom"/>
          </w:tcPr>
          <w:p w14:paraId="334678EF" w14:textId="68BBD6D5" w:rsidR="00200A1E" w:rsidRPr="00783BA0" w:rsidRDefault="0078286B" w:rsidP="007B48D5">
            <w:pPr>
              <w:jc w:val="right"/>
              <w:rPr>
                <w:color w:val="000000"/>
                <w:sz w:val="18"/>
                <w:szCs w:val="18"/>
                <w:lang w:eastAsia="en-GB"/>
              </w:rPr>
            </w:pPr>
            <w:r w:rsidRPr="00783BA0">
              <w:rPr>
                <w:color w:val="000000"/>
                <w:sz w:val="18"/>
                <w:szCs w:val="18"/>
                <w:lang w:eastAsia="en-GB"/>
              </w:rPr>
              <w:t>199,903</w:t>
            </w:r>
          </w:p>
        </w:tc>
      </w:tr>
      <w:tr w:rsidR="0078286B" w:rsidRPr="00EC690A" w14:paraId="66C3F529" w14:textId="77777777" w:rsidTr="0078286B">
        <w:trPr>
          <w:trHeight w:val="300"/>
        </w:trPr>
        <w:tc>
          <w:tcPr>
            <w:tcW w:w="1935" w:type="pct"/>
            <w:tcBorders>
              <w:top w:val="nil"/>
              <w:left w:val="nil"/>
              <w:bottom w:val="nil"/>
              <w:right w:val="nil"/>
            </w:tcBorders>
            <w:shd w:val="clear" w:color="auto" w:fill="auto"/>
            <w:noWrap/>
            <w:vAlign w:val="bottom"/>
          </w:tcPr>
          <w:p w14:paraId="059AFD31" w14:textId="18B53B06" w:rsidR="0078286B" w:rsidRPr="0078286B" w:rsidRDefault="0078286B" w:rsidP="0078286B">
            <w:pPr>
              <w:pStyle w:val="ListParagraph"/>
              <w:numPr>
                <w:ilvl w:val="0"/>
                <w:numId w:val="16"/>
              </w:numPr>
              <w:ind w:left="34" w:hanging="34"/>
              <w:rPr>
                <w:color w:val="000000"/>
                <w:sz w:val="18"/>
                <w:szCs w:val="18"/>
                <w:lang w:eastAsia="en-GB"/>
              </w:rPr>
            </w:pPr>
            <w:r w:rsidRPr="0078286B">
              <w:rPr>
                <w:i/>
                <w:iCs/>
                <w:color w:val="000000"/>
                <w:sz w:val="18"/>
                <w:szCs w:val="18"/>
                <w:lang w:eastAsia="en-GB"/>
              </w:rPr>
              <w:t>Member of supervisory board of directors with significant influence over a Company</w:t>
            </w:r>
          </w:p>
        </w:tc>
        <w:tc>
          <w:tcPr>
            <w:tcW w:w="807" w:type="pct"/>
            <w:tcBorders>
              <w:top w:val="nil"/>
              <w:left w:val="nil"/>
              <w:bottom w:val="nil"/>
              <w:right w:val="nil"/>
            </w:tcBorders>
            <w:shd w:val="clear" w:color="auto" w:fill="auto"/>
            <w:noWrap/>
            <w:vAlign w:val="bottom"/>
          </w:tcPr>
          <w:p w14:paraId="25F00570" w14:textId="256FDE04" w:rsidR="0078286B" w:rsidRPr="00783BA0" w:rsidRDefault="009B04A8" w:rsidP="007B48D5">
            <w:pPr>
              <w:jc w:val="right"/>
              <w:rPr>
                <w:b/>
                <w:bCs/>
                <w:i/>
                <w:iCs/>
                <w:color w:val="000000"/>
                <w:sz w:val="18"/>
                <w:szCs w:val="18"/>
                <w:lang w:eastAsia="en-GB"/>
              </w:rPr>
            </w:pPr>
            <w:r w:rsidRPr="00783BA0">
              <w:rPr>
                <w:b/>
                <w:bCs/>
                <w:i/>
                <w:iCs/>
                <w:color w:val="000000"/>
                <w:sz w:val="18"/>
                <w:szCs w:val="18"/>
                <w:lang w:eastAsia="en-GB"/>
              </w:rPr>
              <w:t>-</w:t>
            </w:r>
          </w:p>
        </w:tc>
        <w:tc>
          <w:tcPr>
            <w:tcW w:w="725" w:type="pct"/>
            <w:tcBorders>
              <w:top w:val="nil"/>
              <w:left w:val="nil"/>
              <w:bottom w:val="nil"/>
              <w:right w:val="nil"/>
            </w:tcBorders>
            <w:shd w:val="clear" w:color="auto" w:fill="auto"/>
            <w:noWrap/>
            <w:vAlign w:val="bottom"/>
          </w:tcPr>
          <w:p w14:paraId="040D5BDA" w14:textId="77777777" w:rsidR="0078286B" w:rsidRPr="00783BA0" w:rsidRDefault="0078286B" w:rsidP="007B48D5">
            <w:pPr>
              <w:jc w:val="right"/>
              <w:rPr>
                <w:b/>
                <w:bCs/>
                <w:color w:val="000000"/>
                <w:sz w:val="18"/>
                <w:szCs w:val="18"/>
                <w:lang w:eastAsia="en-GB"/>
              </w:rPr>
            </w:pPr>
          </w:p>
        </w:tc>
        <w:tc>
          <w:tcPr>
            <w:tcW w:w="807" w:type="pct"/>
            <w:tcBorders>
              <w:top w:val="nil"/>
              <w:left w:val="nil"/>
              <w:bottom w:val="nil"/>
              <w:right w:val="nil"/>
            </w:tcBorders>
            <w:shd w:val="clear" w:color="auto" w:fill="auto"/>
            <w:noWrap/>
            <w:vAlign w:val="bottom"/>
          </w:tcPr>
          <w:p w14:paraId="0F897C96" w14:textId="460400CB" w:rsidR="0078286B" w:rsidRPr="00783BA0" w:rsidRDefault="0078286B" w:rsidP="007B48D5">
            <w:pPr>
              <w:jc w:val="right"/>
              <w:rPr>
                <w:i/>
                <w:iCs/>
                <w:color w:val="000000"/>
                <w:sz w:val="18"/>
                <w:szCs w:val="18"/>
                <w:lang w:eastAsia="en-GB"/>
              </w:rPr>
            </w:pPr>
            <w:r w:rsidRPr="00783BA0">
              <w:rPr>
                <w:i/>
                <w:iCs/>
                <w:color w:val="000000"/>
                <w:sz w:val="18"/>
                <w:szCs w:val="18"/>
                <w:lang w:eastAsia="en-GB"/>
              </w:rPr>
              <w:t>20,074</w:t>
            </w:r>
          </w:p>
        </w:tc>
        <w:tc>
          <w:tcPr>
            <w:tcW w:w="725" w:type="pct"/>
            <w:tcBorders>
              <w:top w:val="nil"/>
              <w:left w:val="nil"/>
              <w:bottom w:val="nil"/>
              <w:right w:val="nil"/>
            </w:tcBorders>
            <w:shd w:val="clear" w:color="auto" w:fill="auto"/>
            <w:noWrap/>
            <w:vAlign w:val="bottom"/>
          </w:tcPr>
          <w:p w14:paraId="287D376C" w14:textId="77777777" w:rsidR="0078286B" w:rsidRPr="00783BA0" w:rsidRDefault="0078286B" w:rsidP="007B48D5">
            <w:pPr>
              <w:jc w:val="right"/>
              <w:rPr>
                <w:color w:val="000000"/>
                <w:sz w:val="18"/>
                <w:szCs w:val="18"/>
                <w:lang w:eastAsia="en-GB"/>
              </w:rPr>
            </w:pPr>
          </w:p>
        </w:tc>
      </w:tr>
      <w:tr w:rsidR="00200A1E" w:rsidRPr="00EC690A" w14:paraId="167BDDB9" w14:textId="77777777" w:rsidTr="0078286B">
        <w:trPr>
          <w:trHeight w:val="300"/>
        </w:trPr>
        <w:tc>
          <w:tcPr>
            <w:tcW w:w="1935" w:type="pct"/>
            <w:tcBorders>
              <w:top w:val="nil"/>
              <w:left w:val="nil"/>
              <w:bottom w:val="nil"/>
              <w:right w:val="nil"/>
            </w:tcBorders>
            <w:shd w:val="clear" w:color="auto" w:fill="auto"/>
            <w:noWrap/>
            <w:vAlign w:val="bottom"/>
            <w:hideMark/>
          </w:tcPr>
          <w:p w14:paraId="0507F06D" w14:textId="77777777" w:rsidR="00200A1E" w:rsidRPr="00EC690A" w:rsidRDefault="00200A1E" w:rsidP="007B48D5">
            <w:pPr>
              <w:rPr>
                <w:color w:val="000000"/>
                <w:sz w:val="18"/>
                <w:szCs w:val="18"/>
                <w:lang w:eastAsia="en-GB"/>
              </w:rPr>
            </w:pPr>
            <w:r w:rsidRPr="00EC690A">
              <w:rPr>
                <w:color w:val="000000"/>
                <w:sz w:val="18"/>
                <w:szCs w:val="18"/>
                <w:lang w:eastAsia="en-GB"/>
              </w:rPr>
              <w:t>Other income/(loss)</w:t>
            </w:r>
          </w:p>
        </w:tc>
        <w:tc>
          <w:tcPr>
            <w:tcW w:w="807" w:type="pct"/>
            <w:tcBorders>
              <w:top w:val="nil"/>
              <w:left w:val="nil"/>
              <w:bottom w:val="nil"/>
              <w:right w:val="nil"/>
            </w:tcBorders>
            <w:shd w:val="clear" w:color="auto" w:fill="auto"/>
            <w:noWrap/>
            <w:vAlign w:val="bottom"/>
          </w:tcPr>
          <w:p w14:paraId="1C9F3DA6" w14:textId="77777777" w:rsidR="00200A1E" w:rsidRPr="00783BA0" w:rsidRDefault="00200A1E" w:rsidP="007B48D5">
            <w:pPr>
              <w:jc w:val="right"/>
              <w:rPr>
                <w:b/>
                <w:bCs/>
                <w:i/>
                <w:iCs/>
                <w:color w:val="000000"/>
                <w:sz w:val="18"/>
                <w:szCs w:val="18"/>
                <w:lang w:eastAsia="en-GB"/>
              </w:rPr>
            </w:pPr>
          </w:p>
        </w:tc>
        <w:tc>
          <w:tcPr>
            <w:tcW w:w="725" w:type="pct"/>
            <w:tcBorders>
              <w:top w:val="nil"/>
              <w:left w:val="nil"/>
              <w:bottom w:val="nil"/>
              <w:right w:val="nil"/>
            </w:tcBorders>
            <w:shd w:val="clear" w:color="auto" w:fill="auto"/>
            <w:noWrap/>
            <w:vAlign w:val="bottom"/>
          </w:tcPr>
          <w:p w14:paraId="240CB7B0" w14:textId="3B2F28EC" w:rsidR="00200A1E" w:rsidRPr="00783BA0" w:rsidRDefault="009B04A8" w:rsidP="007B48D5">
            <w:pPr>
              <w:jc w:val="right"/>
              <w:rPr>
                <w:b/>
                <w:bCs/>
                <w:color w:val="000000"/>
                <w:sz w:val="18"/>
                <w:szCs w:val="18"/>
                <w:lang w:eastAsia="en-GB"/>
              </w:rPr>
            </w:pPr>
            <w:r w:rsidRPr="00783BA0">
              <w:rPr>
                <w:b/>
                <w:bCs/>
                <w:color w:val="000000"/>
                <w:sz w:val="18"/>
                <w:szCs w:val="18"/>
                <w:lang w:eastAsia="en-GB"/>
              </w:rPr>
              <w:t>80,400</w:t>
            </w:r>
          </w:p>
        </w:tc>
        <w:tc>
          <w:tcPr>
            <w:tcW w:w="807" w:type="pct"/>
            <w:tcBorders>
              <w:top w:val="nil"/>
              <w:left w:val="nil"/>
              <w:bottom w:val="nil"/>
              <w:right w:val="nil"/>
            </w:tcBorders>
            <w:shd w:val="clear" w:color="auto" w:fill="auto"/>
            <w:noWrap/>
            <w:vAlign w:val="bottom"/>
          </w:tcPr>
          <w:p w14:paraId="16EF9F20" w14:textId="77777777" w:rsidR="00200A1E" w:rsidRPr="00783BA0" w:rsidRDefault="00200A1E" w:rsidP="007B48D5">
            <w:pPr>
              <w:jc w:val="right"/>
              <w:rPr>
                <w:i/>
                <w:iCs/>
                <w:color w:val="000000"/>
                <w:sz w:val="18"/>
                <w:szCs w:val="18"/>
                <w:lang w:eastAsia="en-GB"/>
              </w:rPr>
            </w:pPr>
          </w:p>
        </w:tc>
        <w:tc>
          <w:tcPr>
            <w:tcW w:w="725" w:type="pct"/>
            <w:tcBorders>
              <w:top w:val="nil"/>
              <w:left w:val="nil"/>
              <w:bottom w:val="nil"/>
              <w:right w:val="nil"/>
            </w:tcBorders>
            <w:shd w:val="clear" w:color="auto" w:fill="auto"/>
            <w:noWrap/>
            <w:vAlign w:val="bottom"/>
          </w:tcPr>
          <w:p w14:paraId="01B84D58" w14:textId="23952BC5" w:rsidR="00200A1E" w:rsidRPr="00783BA0" w:rsidRDefault="0078286B" w:rsidP="007B48D5">
            <w:pPr>
              <w:jc w:val="right"/>
              <w:rPr>
                <w:color w:val="000000"/>
                <w:sz w:val="18"/>
                <w:szCs w:val="18"/>
                <w:lang w:eastAsia="en-GB"/>
              </w:rPr>
            </w:pPr>
            <w:r w:rsidRPr="00783BA0">
              <w:rPr>
                <w:color w:val="000000"/>
                <w:sz w:val="18"/>
                <w:szCs w:val="18"/>
                <w:lang w:eastAsia="en-GB"/>
              </w:rPr>
              <w:t>74,467</w:t>
            </w:r>
          </w:p>
        </w:tc>
      </w:tr>
      <w:tr w:rsidR="00200A1E" w:rsidRPr="00EC690A" w14:paraId="7F85386F" w14:textId="77777777" w:rsidTr="0078286B">
        <w:trPr>
          <w:trHeight w:val="300"/>
        </w:trPr>
        <w:tc>
          <w:tcPr>
            <w:tcW w:w="1935" w:type="pct"/>
            <w:tcBorders>
              <w:top w:val="nil"/>
              <w:left w:val="nil"/>
              <w:bottom w:val="nil"/>
              <w:right w:val="nil"/>
            </w:tcBorders>
            <w:shd w:val="clear" w:color="auto" w:fill="auto"/>
            <w:noWrap/>
            <w:vAlign w:val="bottom"/>
            <w:hideMark/>
          </w:tcPr>
          <w:p w14:paraId="28F5B0E4" w14:textId="77777777" w:rsidR="00200A1E" w:rsidRPr="00EC690A" w:rsidRDefault="00200A1E" w:rsidP="007B48D5">
            <w:pPr>
              <w:rPr>
                <w:i/>
                <w:iCs/>
                <w:color w:val="000000"/>
                <w:sz w:val="18"/>
                <w:szCs w:val="18"/>
                <w:lang w:eastAsia="en-GB"/>
              </w:rPr>
            </w:pPr>
            <w:r w:rsidRPr="00EC690A">
              <w:rPr>
                <w:i/>
                <w:iCs/>
                <w:color w:val="000000"/>
                <w:sz w:val="18"/>
                <w:szCs w:val="18"/>
                <w:lang w:eastAsia="en-GB"/>
              </w:rPr>
              <w:t>― companies controlled by the shareholder</w:t>
            </w:r>
          </w:p>
        </w:tc>
        <w:tc>
          <w:tcPr>
            <w:tcW w:w="807" w:type="pct"/>
            <w:tcBorders>
              <w:top w:val="nil"/>
              <w:left w:val="nil"/>
              <w:bottom w:val="nil"/>
              <w:right w:val="nil"/>
            </w:tcBorders>
            <w:shd w:val="clear" w:color="auto" w:fill="auto"/>
            <w:noWrap/>
            <w:vAlign w:val="bottom"/>
          </w:tcPr>
          <w:p w14:paraId="748FEB86" w14:textId="548BD04D" w:rsidR="00200A1E" w:rsidRPr="00783BA0" w:rsidRDefault="009B04A8" w:rsidP="007B48D5">
            <w:pPr>
              <w:jc w:val="right"/>
              <w:rPr>
                <w:b/>
                <w:bCs/>
                <w:i/>
                <w:iCs/>
                <w:color w:val="000000"/>
                <w:sz w:val="18"/>
                <w:szCs w:val="18"/>
                <w:lang w:eastAsia="en-GB"/>
              </w:rPr>
            </w:pPr>
            <w:r w:rsidRPr="00783BA0">
              <w:rPr>
                <w:b/>
                <w:bCs/>
                <w:i/>
                <w:iCs/>
                <w:color w:val="000000"/>
                <w:sz w:val="18"/>
                <w:szCs w:val="18"/>
                <w:lang w:eastAsia="en-GB"/>
              </w:rPr>
              <w:t>80,400</w:t>
            </w:r>
          </w:p>
        </w:tc>
        <w:tc>
          <w:tcPr>
            <w:tcW w:w="725" w:type="pct"/>
            <w:tcBorders>
              <w:top w:val="nil"/>
              <w:left w:val="nil"/>
              <w:bottom w:val="nil"/>
              <w:right w:val="nil"/>
            </w:tcBorders>
            <w:shd w:val="clear" w:color="auto" w:fill="auto"/>
            <w:noWrap/>
            <w:vAlign w:val="bottom"/>
          </w:tcPr>
          <w:p w14:paraId="504B6592" w14:textId="43EE1C7A" w:rsidR="00200A1E" w:rsidRPr="00783BA0" w:rsidRDefault="00200A1E" w:rsidP="007B48D5">
            <w:pPr>
              <w:jc w:val="right"/>
              <w:rPr>
                <w:b/>
                <w:bCs/>
                <w:color w:val="000000"/>
                <w:sz w:val="18"/>
                <w:szCs w:val="18"/>
                <w:lang w:eastAsia="en-GB"/>
              </w:rPr>
            </w:pPr>
          </w:p>
        </w:tc>
        <w:tc>
          <w:tcPr>
            <w:tcW w:w="807" w:type="pct"/>
            <w:tcBorders>
              <w:top w:val="nil"/>
              <w:left w:val="nil"/>
              <w:bottom w:val="nil"/>
              <w:right w:val="nil"/>
            </w:tcBorders>
            <w:shd w:val="clear" w:color="auto" w:fill="auto"/>
            <w:noWrap/>
            <w:vAlign w:val="bottom"/>
          </w:tcPr>
          <w:p w14:paraId="77846F79" w14:textId="59839E8A" w:rsidR="00200A1E" w:rsidRPr="00783BA0" w:rsidRDefault="0078286B" w:rsidP="007B48D5">
            <w:pPr>
              <w:jc w:val="right"/>
              <w:rPr>
                <w:i/>
                <w:iCs/>
                <w:color w:val="000000"/>
                <w:sz w:val="18"/>
                <w:szCs w:val="18"/>
                <w:lang w:eastAsia="en-GB"/>
              </w:rPr>
            </w:pPr>
            <w:r w:rsidRPr="00783BA0">
              <w:rPr>
                <w:i/>
                <w:iCs/>
                <w:color w:val="000000"/>
                <w:sz w:val="18"/>
                <w:szCs w:val="18"/>
                <w:lang w:eastAsia="en-GB"/>
              </w:rPr>
              <w:t>32,400</w:t>
            </w:r>
          </w:p>
        </w:tc>
        <w:tc>
          <w:tcPr>
            <w:tcW w:w="725" w:type="pct"/>
            <w:tcBorders>
              <w:top w:val="nil"/>
              <w:left w:val="nil"/>
              <w:bottom w:val="nil"/>
              <w:right w:val="nil"/>
            </w:tcBorders>
            <w:shd w:val="clear" w:color="auto" w:fill="auto"/>
            <w:noWrap/>
            <w:vAlign w:val="bottom"/>
          </w:tcPr>
          <w:p w14:paraId="2EB56234" w14:textId="29660C2B" w:rsidR="00200A1E" w:rsidRPr="00783BA0" w:rsidRDefault="00200A1E" w:rsidP="007B48D5">
            <w:pPr>
              <w:jc w:val="right"/>
              <w:rPr>
                <w:color w:val="000000"/>
                <w:sz w:val="18"/>
                <w:szCs w:val="18"/>
                <w:lang w:eastAsia="en-GB"/>
              </w:rPr>
            </w:pPr>
          </w:p>
        </w:tc>
      </w:tr>
      <w:tr w:rsidR="00200A1E" w:rsidRPr="00EC690A" w14:paraId="2867BA46" w14:textId="77777777" w:rsidTr="0078286B">
        <w:trPr>
          <w:trHeight w:val="300"/>
        </w:trPr>
        <w:tc>
          <w:tcPr>
            <w:tcW w:w="1935" w:type="pct"/>
            <w:tcBorders>
              <w:top w:val="nil"/>
              <w:left w:val="nil"/>
              <w:bottom w:val="single" w:sz="4" w:space="0" w:color="auto"/>
              <w:right w:val="nil"/>
            </w:tcBorders>
            <w:shd w:val="clear" w:color="auto" w:fill="auto"/>
            <w:noWrap/>
            <w:vAlign w:val="bottom"/>
          </w:tcPr>
          <w:p w14:paraId="34D2E878" w14:textId="77777777" w:rsidR="00200A1E" w:rsidRPr="00EC690A" w:rsidRDefault="00200A1E" w:rsidP="007B48D5">
            <w:pPr>
              <w:rPr>
                <w:i/>
                <w:iCs/>
                <w:color w:val="000000"/>
                <w:sz w:val="18"/>
                <w:szCs w:val="18"/>
                <w:lang w:eastAsia="en-GB"/>
              </w:rPr>
            </w:pPr>
          </w:p>
        </w:tc>
        <w:tc>
          <w:tcPr>
            <w:tcW w:w="807" w:type="pct"/>
            <w:tcBorders>
              <w:top w:val="nil"/>
              <w:left w:val="nil"/>
              <w:bottom w:val="single" w:sz="4" w:space="0" w:color="auto"/>
              <w:right w:val="nil"/>
            </w:tcBorders>
            <w:shd w:val="clear" w:color="auto" w:fill="auto"/>
            <w:noWrap/>
            <w:vAlign w:val="bottom"/>
          </w:tcPr>
          <w:p w14:paraId="1A2D1E09" w14:textId="77777777" w:rsidR="00200A1E" w:rsidRPr="00EC690A" w:rsidRDefault="00200A1E" w:rsidP="007B48D5">
            <w:pPr>
              <w:jc w:val="right"/>
              <w:rPr>
                <w:color w:val="000000"/>
                <w:sz w:val="18"/>
                <w:szCs w:val="18"/>
              </w:rPr>
            </w:pPr>
          </w:p>
        </w:tc>
        <w:tc>
          <w:tcPr>
            <w:tcW w:w="725" w:type="pct"/>
            <w:tcBorders>
              <w:top w:val="nil"/>
              <w:left w:val="nil"/>
              <w:bottom w:val="single" w:sz="4" w:space="0" w:color="auto"/>
              <w:right w:val="nil"/>
            </w:tcBorders>
            <w:shd w:val="clear" w:color="auto" w:fill="auto"/>
            <w:noWrap/>
            <w:vAlign w:val="bottom"/>
          </w:tcPr>
          <w:p w14:paraId="4FE5FBF6" w14:textId="77777777" w:rsidR="00200A1E" w:rsidRPr="00EC690A" w:rsidRDefault="00200A1E" w:rsidP="007B48D5">
            <w:pPr>
              <w:jc w:val="right"/>
              <w:rPr>
                <w:color w:val="000000"/>
                <w:sz w:val="18"/>
                <w:szCs w:val="18"/>
              </w:rPr>
            </w:pPr>
          </w:p>
        </w:tc>
        <w:tc>
          <w:tcPr>
            <w:tcW w:w="807" w:type="pct"/>
            <w:tcBorders>
              <w:top w:val="nil"/>
              <w:left w:val="nil"/>
              <w:bottom w:val="single" w:sz="4" w:space="0" w:color="auto"/>
              <w:right w:val="nil"/>
            </w:tcBorders>
            <w:shd w:val="clear" w:color="auto" w:fill="auto"/>
            <w:noWrap/>
            <w:vAlign w:val="bottom"/>
          </w:tcPr>
          <w:p w14:paraId="44FFEB27" w14:textId="77777777" w:rsidR="00200A1E" w:rsidRPr="00783BA0" w:rsidRDefault="00200A1E" w:rsidP="007B48D5">
            <w:pPr>
              <w:jc w:val="right"/>
              <w:rPr>
                <w:color w:val="000000"/>
                <w:sz w:val="18"/>
                <w:szCs w:val="18"/>
              </w:rPr>
            </w:pPr>
          </w:p>
        </w:tc>
        <w:tc>
          <w:tcPr>
            <w:tcW w:w="725" w:type="pct"/>
            <w:tcBorders>
              <w:top w:val="nil"/>
              <w:left w:val="nil"/>
              <w:bottom w:val="single" w:sz="4" w:space="0" w:color="auto"/>
              <w:right w:val="nil"/>
            </w:tcBorders>
            <w:shd w:val="clear" w:color="auto" w:fill="auto"/>
            <w:noWrap/>
            <w:vAlign w:val="bottom"/>
          </w:tcPr>
          <w:p w14:paraId="28ED0864" w14:textId="77777777" w:rsidR="00200A1E" w:rsidRPr="00783BA0" w:rsidRDefault="00200A1E" w:rsidP="007B48D5">
            <w:pPr>
              <w:jc w:val="right"/>
              <w:rPr>
                <w:color w:val="000000"/>
                <w:sz w:val="18"/>
                <w:szCs w:val="18"/>
              </w:rPr>
            </w:pPr>
          </w:p>
        </w:tc>
      </w:tr>
    </w:tbl>
    <w:p w14:paraId="6E1A983F" w14:textId="62078F94" w:rsidR="00200A1E" w:rsidRDefault="0078286B" w:rsidP="0078286B">
      <w:pPr>
        <w:spacing w:before="120" w:after="120"/>
        <w:jc w:val="both"/>
        <w:rPr>
          <w:sz w:val="18"/>
          <w:szCs w:val="18"/>
        </w:rPr>
      </w:pPr>
      <w:r>
        <w:rPr>
          <w:sz w:val="18"/>
          <w:szCs w:val="18"/>
        </w:rPr>
        <w:t>The remuneration of key management personnel is determined by the remuneration committee having regard to the performance of individuals and market trends.</w:t>
      </w:r>
    </w:p>
    <w:p w14:paraId="571C1401" w14:textId="77777777" w:rsidR="0078286B" w:rsidRDefault="0078286B" w:rsidP="0078286B">
      <w:pPr>
        <w:spacing w:before="120" w:after="120"/>
        <w:jc w:val="both"/>
        <w:rPr>
          <w:sz w:val="18"/>
          <w:szCs w:val="18"/>
        </w:rPr>
      </w:pPr>
    </w:p>
    <w:p w14:paraId="25678513" w14:textId="26FB9F63" w:rsidR="00200A1E" w:rsidRDefault="00200A1E" w:rsidP="0078286B">
      <w:pPr>
        <w:pStyle w:val="ListParagraph"/>
        <w:numPr>
          <w:ilvl w:val="0"/>
          <w:numId w:val="1"/>
        </w:numPr>
        <w:spacing w:before="240" w:after="120"/>
        <w:ind w:left="357" w:hanging="357"/>
        <w:contextualSpacing w:val="0"/>
        <w:outlineLvl w:val="0"/>
        <w:rPr>
          <w:b/>
          <w:bCs/>
          <w:sz w:val="18"/>
          <w:szCs w:val="18"/>
        </w:rPr>
      </w:pPr>
      <w:bookmarkStart w:id="98" w:name="_Toc57894918"/>
      <w:r w:rsidRPr="00200A1E">
        <w:rPr>
          <w:b/>
          <w:bCs/>
          <w:sz w:val="18"/>
          <w:szCs w:val="18"/>
        </w:rPr>
        <w:t>Subsequent events</w:t>
      </w:r>
      <w:bookmarkEnd w:id="98"/>
    </w:p>
    <w:p w14:paraId="6804BA5A" w14:textId="7E6129B7" w:rsidR="002D5B9A" w:rsidRDefault="00C41301" w:rsidP="00C41301">
      <w:pPr>
        <w:spacing w:before="120" w:after="120"/>
        <w:jc w:val="both"/>
        <w:rPr>
          <w:sz w:val="18"/>
          <w:szCs w:val="18"/>
        </w:rPr>
      </w:pPr>
      <w:r w:rsidRPr="00C41301">
        <w:rPr>
          <w:sz w:val="18"/>
          <w:szCs w:val="18"/>
        </w:rPr>
        <w:t>In early 2020, the global market was faced with uncertainty caused by the outbreak of coronavirus infection. Since March 2020, in connection with the coronavirus</w:t>
      </w:r>
      <w:r w:rsidR="002D5B9A">
        <w:rPr>
          <w:sz w:val="18"/>
          <w:szCs w:val="18"/>
        </w:rPr>
        <w:t xml:space="preserve"> (COVID-19) pandemic</w:t>
      </w:r>
      <w:r w:rsidRPr="00C41301">
        <w:rPr>
          <w:sz w:val="18"/>
          <w:szCs w:val="18"/>
        </w:rPr>
        <w:t xml:space="preserve">, the Government of the Republic of </w:t>
      </w:r>
      <w:r w:rsidR="002D5B9A">
        <w:rPr>
          <w:sz w:val="18"/>
          <w:szCs w:val="18"/>
        </w:rPr>
        <w:t>Azerbaijan introduced quarantine measures which had significant impact on the level and scale of business activity of market. It is expected that both the pandemic itself and measures to minimise its consequences can affect the operations of companies from various industries.</w:t>
      </w:r>
    </w:p>
    <w:p w14:paraId="1E1E51D6" w14:textId="069360E3" w:rsidR="00C41301" w:rsidRDefault="00C41301" w:rsidP="00C41301">
      <w:pPr>
        <w:spacing w:before="120" w:after="120"/>
        <w:jc w:val="both"/>
        <w:rPr>
          <w:sz w:val="18"/>
          <w:szCs w:val="18"/>
        </w:rPr>
      </w:pPr>
      <w:r w:rsidRPr="00C41301">
        <w:rPr>
          <w:sz w:val="18"/>
          <w:szCs w:val="18"/>
        </w:rPr>
        <w:t>The Company's management</w:t>
      </w:r>
      <w:r w:rsidR="002D5B9A">
        <w:rPr>
          <w:sz w:val="18"/>
          <w:szCs w:val="18"/>
        </w:rPr>
        <w:t xml:space="preserve"> considers this pandemic as a non-adjustment event and</w:t>
      </w:r>
      <w:r w:rsidRPr="00C41301">
        <w:rPr>
          <w:sz w:val="18"/>
          <w:szCs w:val="18"/>
        </w:rPr>
        <w:t xml:space="preserve"> is unable to predict how long this situation will continue and is following the previously adopted strategy of the Company. </w:t>
      </w:r>
      <w:r w:rsidR="002D5B9A">
        <w:rPr>
          <w:sz w:val="18"/>
          <w:szCs w:val="18"/>
        </w:rPr>
        <w:t>Currently</w:t>
      </w:r>
      <w:r w:rsidRPr="00C41301">
        <w:rPr>
          <w:sz w:val="18"/>
          <w:szCs w:val="18"/>
        </w:rPr>
        <w:t xml:space="preserve">, the Company's management has introduced </w:t>
      </w:r>
      <w:proofErr w:type="gramStart"/>
      <w:r w:rsidRPr="00C41301">
        <w:rPr>
          <w:sz w:val="18"/>
          <w:szCs w:val="18"/>
        </w:rPr>
        <w:t>a number of</w:t>
      </w:r>
      <w:proofErr w:type="gramEnd"/>
      <w:r w:rsidRPr="00C41301">
        <w:rPr>
          <w:sz w:val="18"/>
          <w:szCs w:val="18"/>
        </w:rPr>
        <w:t xml:space="preserve"> measures to ensure the safety and well-being of its employees and </w:t>
      </w:r>
      <w:r w:rsidR="002D5B9A">
        <w:rPr>
          <w:sz w:val="18"/>
          <w:szCs w:val="18"/>
        </w:rPr>
        <w:t>clients</w:t>
      </w:r>
      <w:r w:rsidRPr="00C41301">
        <w:rPr>
          <w:sz w:val="18"/>
          <w:szCs w:val="18"/>
        </w:rPr>
        <w:t>.</w:t>
      </w:r>
      <w:bookmarkStart w:id="99" w:name="_GoBack"/>
      <w:bookmarkEnd w:id="99"/>
    </w:p>
    <w:p w14:paraId="5EF88B5A" w14:textId="6FAAED9C" w:rsidR="002D5B9A" w:rsidRPr="00C41301" w:rsidRDefault="002D5B9A" w:rsidP="00C41301">
      <w:pPr>
        <w:spacing w:before="120" w:after="120"/>
        <w:jc w:val="both"/>
        <w:rPr>
          <w:sz w:val="18"/>
          <w:szCs w:val="18"/>
        </w:rPr>
      </w:pPr>
      <w:r>
        <w:rPr>
          <w:sz w:val="18"/>
          <w:szCs w:val="18"/>
        </w:rPr>
        <w:t xml:space="preserve">On </w:t>
      </w:r>
      <w:r w:rsidR="00BD2F47">
        <w:rPr>
          <w:sz w:val="18"/>
          <w:szCs w:val="18"/>
        </w:rPr>
        <w:t>24 February</w:t>
      </w:r>
      <w:r>
        <w:rPr>
          <w:sz w:val="18"/>
          <w:szCs w:val="18"/>
        </w:rPr>
        <w:t xml:space="preserve"> 2020 the Company declared dividends for the year ended 31 December 2019 in the amount of AZN </w:t>
      </w:r>
      <w:r w:rsidR="00082103">
        <w:rPr>
          <w:sz w:val="18"/>
          <w:szCs w:val="18"/>
        </w:rPr>
        <w:t>1,560,499</w:t>
      </w:r>
      <w:r>
        <w:rPr>
          <w:sz w:val="18"/>
          <w:szCs w:val="18"/>
        </w:rPr>
        <w:t xml:space="preserve"> for profit earned during the year 2019.</w:t>
      </w:r>
    </w:p>
    <w:sectPr w:rsidR="002D5B9A" w:rsidRPr="00C41301" w:rsidSect="000C5941">
      <w:pgSz w:w="11906" w:h="16838" w:code="9"/>
      <w:pgMar w:top="1440" w:right="1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8280" w14:textId="77777777" w:rsidR="00AC5A33" w:rsidRDefault="00AC5A33" w:rsidP="000B7759">
      <w:r>
        <w:separator/>
      </w:r>
    </w:p>
  </w:endnote>
  <w:endnote w:type="continuationSeparator" w:id="0">
    <w:p w14:paraId="5D32A278" w14:textId="77777777" w:rsidR="00AC5A33" w:rsidRDefault="00AC5A33" w:rsidP="000B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Lt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lbertus MT">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FuturaBookC">
    <w:panose1 w:val="00000000000000000000"/>
    <w:charset w:val="CC"/>
    <w:family w:val="auto"/>
    <w:notTrueType/>
    <w:pitch w:val="default"/>
    <w:sig w:usb0="00000201" w:usb1="00000000" w:usb2="00000000" w:usb3="00000000" w:csb0="00000004" w:csb1="00000000"/>
  </w:font>
  <w:font w:name="Univers-45Ligh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097679"/>
      <w:docPartObj>
        <w:docPartGallery w:val="Page Numbers (Bottom of Page)"/>
        <w:docPartUnique/>
      </w:docPartObj>
    </w:sdtPr>
    <w:sdtEndPr>
      <w:rPr>
        <w:noProof/>
      </w:rPr>
    </w:sdtEndPr>
    <w:sdtContent>
      <w:p w14:paraId="7C2F55F8" w14:textId="4C1398CF" w:rsidR="00375B95" w:rsidRDefault="00375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84A39" w14:textId="77777777" w:rsidR="00375B95" w:rsidRDefault="0037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617990"/>
      <w:docPartObj>
        <w:docPartGallery w:val="Page Numbers (Bottom of Page)"/>
        <w:docPartUnique/>
      </w:docPartObj>
    </w:sdtPr>
    <w:sdtEndPr>
      <w:rPr>
        <w:noProof/>
      </w:rPr>
    </w:sdtEndPr>
    <w:sdtContent>
      <w:p w14:paraId="7BDA0A40" w14:textId="5B28BAAA" w:rsidR="00375B95" w:rsidRPr="008F1551" w:rsidRDefault="00375B95" w:rsidP="000D5A86">
        <w:pPr>
          <w:pStyle w:val="Footer"/>
          <w:jc w:val="center"/>
          <w:rPr>
            <w:sz w:val="18"/>
            <w:szCs w:val="18"/>
          </w:rPr>
        </w:pPr>
      </w:p>
      <w:p w14:paraId="74141AFC" w14:textId="76C83541" w:rsidR="00375B95" w:rsidRDefault="00375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42321"/>
      <w:docPartObj>
        <w:docPartGallery w:val="Page Numbers (Bottom of Page)"/>
        <w:docPartUnique/>
      </w:docPartObj>
    </w:sdtPr>
    <w:sdtEndPr>
      <w:rPr>
        <w:noProof/>
      </w:rPr>
    </w:sdtEndPr>
    <w:sdtContent>
      <w:p w14:paraId="4DD85243" w14:textId="50FAE841" w:rsidR="00375B95" w:rsidRPr="008F1551" w:rsidRDefault="00375B95" w:rsidP="0078286B">
        <w:pPr>
          <w:pStyle w:val="Footer"/>
          <w:spacing w:before="120" w:after="120"/>
          <w:jc w:val="center"/>
          <w:rPr>
            <w:sz w:val="18"/>
            <w:szCs w:val="18"/>
          </w:rPr>
        </w:pPr>
        <w:r w:rsidRPr="008F1551">
          <w:rPr>
            <w:i/>
            <w:iCs/>
            <w:sz w:val="18"/>
            <w:szCs w:val="18"/>
          </w:rPr>
          <w:t xml:space="preserve">The notes set out on pages 9 to </w:t>
        </w:r>
        <w:r w:rsidR="0095394E">
          <w:rPr>
            <w:i/>
            <w:iCs/>
            <w:sz w:val="18"/>
            <w:szCs w:val="18"/>
          </w:rPr>
          <w:t>39</w:t>
        </w:r>
        <w:r w:rsidRPr="008F1551">
          <w:rPr>
            <w:i/>
            <w:iCs/>
            <w:sz w:val="18"/>
            <w:szCs w:val="18"/>
          </w:rPr>
          <w:t xml:space="preserve"> are an integral part of these financial statements</w:t>
        </w:r>
      </w:p>
      <w:p w14:paraId="7ED8B871" w14:textId="77777777" w:rsidR="00375B95" w:rsidRDefault="00375B95">
        <w:pPr>
          <w:pStyle w:val="Footer"/>
          <w:jc w:val="center"/>
        </w:pPr>
        <w:r w:rsidRPr="0078286B">
          <w:rPr>
            <w:sz w:val="18"/>
            <w:szCs w:val="18"/>
          </w:rPr>
          <w:fldChar w:fldCharType="begin"/>
        </w:r>
        <w:r w:rsidRPr="0078286B">
          <w:rPr>
            <w:sz w:val="18"/>
            <w:szCs w:val="18"/>
          </w:rPr>
          <w:instrText xml:space="preserve"> PAGE   \* MERGEFORMAT </w:instrText>
        </w:r>
        <w:r w:rsidRPr="0078286B">
          <w:rPr>
            <w:sz w:val="18"/>
            <w:szCs w:val="18"/>
          </w:rPr>
          <w:fldChar w:fldCharType="separate"/>
        </w:r>
        <w:r w:rsidRPr="0078286B">
          <w:rPr>
            <w:noProof/>
            <w:sz w:val="18"/>
            <w:szCs w:val="18"/>
          </w:rPr>
          <w:t>2</w:t>
        </w:r>
        <w:r w:rsidRPr="0078286B">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D0E7" w14:textId="77777777" w:rsidR="00AC5A33" w:rsidRDefault="00AC5A33" w:rsidP="000B7759">
      <w:r>
        <w:separator/>
      </w:r>
    </w:p>
  </w:footnote>
  <w:footnote w:type="continuationSeparator" w:id="0">
    <w:p w14:paraId="4A2DE21A" w14:textId="77777777" w:rsidR="00AC5A33" w:rsidRDefault="00AC5A33" w:rsidP="000B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6734" w14:textId="77777777" w:rsidR="00375B95" w:rsidRDefault="00375B95" w:rsidP="00FA1F91">
    <w:pPr>
      <w:tabs>
        <w:tab w:val="right" w:pos="9639"/>
      </w:tabs>
    </w:pPr>
    <w:r>
      <w:rPr>
        <w:b/>
      </w:rPr>
      <w:t>“A-Group Insurance Company” OJSC</w:t>
    </w:r>
    <w:r>
      <w:t xml:space="preserve">                                                                         </w:t>
    </w:r>
  </w:p>
  <w:p w14:paraId="7B43F9FF" w14:textId="77777777" w:rsidR="00375B95" w:rsidRPr="003C0153" w:rsidRDefault="00375B95" w:rsidP="00FA1F91">
    <w:pPr>
      <w:pBdr>
        <w:bottom w:val="single" w:sz="4" w:space="1" w:color="auto"/>
      </w:pBdr>
      <w:tabs>
        <w:tab w:val="right" w:pos="9639"/>
      </w:tabs>
      <w:rPr>
        <w:lang w:val="en-US"/>
      </w:rPr>
    </w:pPr>
    <w:r>
      <w:t xml:space="preserve"> Financial statements for the year ended 31 December 2019</w:t>
    </w:r>
  </w:p>
  <w:p w14:paraId="79DAB01B" w14:textId="77777777" w:rsidR="00375B95" w:rsidRPr="00065F46" w:rsidRDefault="00375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B4612" w14:textId="77777777" w:rsidR="00375B95" w:rsidRPr="007D3517" w:rsidRDefault="00375B95" w:rsidP="007D3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BD38" w14:textId="77777777" w:rsidR="00375B95" w:rsidRDefault="00375B95" w:rsidP="0012709F">
    <w:pPr>
      <w:tabs>
        <w:tab w:val="right" w:pos="9639"/>
      </w:tabs>
    </w:pPr>
    <w:r>
      <w:rPr>
        <w:b/>
      </w:rPr>
      <w:t>“A-Group Insurance Company” OJSC</w:t>
    </w:r>
    <w:r>
      <w:t xml:space="preserve">                                                                         </w:t>
    </w:r>
  </w:p>
  <w:p w14:paraId="149AD727" w14:textId="77777777" w:rsidR="00375B95" w:rsidRDefault="00375B95" w:rsidP="0012709F">
    <w:pPr>
      <w:pBdr>
        <w:bottom w:val="single" w:sz="4" w:space="1" w:color="auto"/>
      </w:pBdr>
      <w:tabs>
        <w:tab w:val="right" w:pos="9639"/>
      </w:tabs>
    </w:pPr>
    <w:r>
      <w:t>Statement of financial position as at 31 December 2019</w:t>
    </w:r>
  </w:p>
  <w:p w14:paraId="133CA36D" w14:textId="77777777" w:rsidR="00375B95" w:rsidRPr="003C0153" w:rsidRDefault="00375B95" w:rsidP="0012709F">
    <w:pPr>
      <w:pBdr>
        <w:bottom w:val="single" w:sz="4" w:space="1" w:color="auto"/>
      </w:pBdr>
      <w:tabs>
        <w:tab w:val="right" w:pos="9639"/>
      </w:tabs>
      <w:rPr>
        <w:lang w:val="en-US"/>
      </w:rPr>
    </w:pPr>
    <w:r>
      <w:t xml:space="preserve">In Azerbaijani </w:t>
    </w:r>
    <w:proofErr w:type="spellStart"/>
    <w:r>
      <w:t>manats</w:t>
    </w:r>
    <w:proofErr w:type="spellEnd"/>
    <w:r>
      <w:t>, unless otherwise indicated</w:t>
    </w:r>
  </w:p>
  <w:p w14:paraId="18563F2D" w14:textId="77777777" w:rsidR="00375B95" w:rsidRPr="0012709F" w:rsidRDefault="00375B95" w:rsidP="00065F46">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CBAC" w14:textId="77777777" w:rsidR="00375B95" w:rsidRDefault="00375B95" w:rsidP="0012709F">
    <w:pPr>
      <w:tabs>
        <w:tab w:val="right" w:pos="9639"/>
      </w:tabs>
    </w:pPr>
    <w:r>
      <w:rPr>
        <w:b/>
      </w:rPr>
      <w:t>“A-Group Insurance Company” OJSC</w:t>
    </w:r>
    <w:r>
      <w:t xml:space="preserve">                                                                         </w:t>
    </w:r>
  </w:p>
  <w:p w14:paraId="3A3868D7" w14:textId="13679136" w:rsidR="00375B95" w:rsidRDefault="00375B95" w:rsidP="0012709F">
    <w:pPr>
      <w:pBdr>
        <w:bottom w:val="single" w:sz="4" w:space="1" w:color="auto"/>
      </w:pBdr>
      <w:tabs>
        <w:tab w:val="right" w:pos="9639"/>
      </w:tabs>
    </w:pPr>
    <w:r>
      <w:t>Statement of profit or loss and other comprehensive income for the year ended 31 December 2019</w:t>
    </w:r>
  </w:p>
  <w:p w14:paraId="211AD48D" w14:textId="77777777" w:rsidR="00375B95" w:rsidRPr="003C0153" w:rsidRDefault="00375B95" w:rsidP="0012709F">
    <w:pPr>
      <w:pBdr>
        <w:bottom w:val="single" w:sz="4" w:space="1" w:color="auto"/>
      </w:pBdr>
      <w:tabs>
        <w:tab w:val="right" w:pos="9639"/>
      </w:tabs>
      <w:rPr>
        <w:lang w:val="en-US"/>
      </w:rPr>
    </w:pPr>
    <w:r>
      <w:t xml:space="preserve">In Azerbaijani </w:t>
    </w:r>
    <w:proofErr w:type="spellStart"/>
    <w:r>
      <w:t>manats</w:t>
    </w:r>
    <w:proofErr w:type="spellEnd"/>
    <w:r>
      <w:t>, unless otherwise indicated</w:t>
    </w:r>
  </w:p>
  <w:p w14:paraId="1D58F3E6" w14:textId="77777777" w:rsidR="00375B95" w:rsidRPr="0012709F" w:rsidRDefault="00375B95" w:rsidP="00065F46">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5F85" w14:textId="77777777" w:rsidR="00375B95" w:rsidRDefault="00375B95" w:rsidP="0012709F">
    <w:pPr>
      <w:tabs>
        <w:tab w:val="right" w:pos="9639"/>
      </w:tabs>
    </w:pPr>
    <w:r>
      <w:rPr>
        <w:b/>
      </w:rPr>
      <w:t>“A-Group Insurance Company” OJSC</w:t>
    </w:r>
    <w:r>
      <w:t xml:space="preserve">                                                                         </w:t>
    </w:r>
  </w:p>
  <w:p w14:paraId="27381343" w14:textId="1B931A2B" w:rsidR="00375B95" w:rsidRDefault="00375B95" w:rsidP="0012709F">
    <w:pPr>
      <w:pBdr>
        <w:bottom w:val="single" w:sz="4" w:space="1" w:color="auto"/>
      </w:pBdr>
      <w:tabs>
        <w:tab w:val="right" w:pos="9639"/>
      </w:tabs>
    </w:pPr>
    <w:r>
      <w:t xml:space="preserve">Statement of </w:t>
    </w:r>
    <w:r>
      <w:rPr>
        <w:lang w:val="en-US"/>
      </w:rPr>
      <w:t>changes in equity</w:t>
    </w:r>
    <w:r>
      <w:t xml:space="preserve"> for the year ended 31 December 2019</w:t>
    </w:r>
  </w:p>
  <w:p w14:paraId="2D47AFAF" w14:textId="77777777" w:rsidR="00375B95" w:rsidRPr="003C0153" w:rsidRDefault="00375B95" w:rsidP="0012709F">
    <w:pPr>
      <w:pBdr>
        <w:bottom w:val="single" w:sz="4" w:space="1" w:color="auto"/>
      </w:pBdr>
      <w:tabs>
        <w:tab w:val="right" w:pos="9639"/>
      </w:tabs>
      <w:rPr>
        <w:lang w:val="en-US"/>
      </w:rPr>
    </w:pPr>
    <w:r>
      <w:t xml:space="preserve">In Azerbaijani </w:t>
    </w:r>
    <w:proofErr w:type="spellStart"/>
    <w:r>
      <w:t>manats</w:t>
    </w:r>
    <w:proofErr w:type="spellEnd"/>
    <w:r>
      <w:t>, unless otherwise indicated</w:t>
    </w:r>
  </w:p>
  <w:p w14:paraId="322B9059" w14:textId="77777777" w:rsidR="00375B95" w:rsidRPr="0012709F" w:rsidRDefault="00375B95" w:rsidP="00065F46">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ADD2" w14:textId="77777777" w:rsidR="00375B95" w:rsidRDefault="00375B95" w:rsidP="0012709F">
    <w:pPr>
      <w:tabs>
        <w:tab w:val="right" w:pos="9639"/>
      </w:tabs>
    </w:pPr>
    <w:r>
      <w:rPr>
        <w:b/>
      </w:rPr>
      <w:t>“A-Group Insurance Company” OJSC</w:t>
    </w:r>
    <w:r>
      <w:t xml:space="preserve">                                                                         </w:t>
    </w:r>
  </w:p>
  <w:p w14:paraId="40A52D4D" w14:textId="30997995" w:rsidR="00375B95" w:rsidRDefault="00375B95" w:rsidP="0012709F">
    <w:pPr>
      <w:pBdr>
        <w:bottom w:val="single" w:sz="4" w:space="1" w:color="auto"/>
      </w:pBdr>
      <w:tabs>
        <w:tab w:val="right" w:pos="9639"/>
      </w:tabs>
    </w:pPr>
    <w:r>
      <w:t xml:space="preserve">Statement of </w:t>
    </w:r>
    <w:r>
      <w:rPr>
        <w:lang w:val="en-US"/>
      </w:rPr>
      <w:t>cash flows</w:t>
    </w:r>
    <w:r>
      <w:t xml:space="preserve"> for the year ended 31 December 2019</w:t>
    </w:r>
  </w:p>
  <w:p w14:paraId="1BC7BEEA" w14:textId="77777777" w:rsidR="00375B95" w:rsidRPr="003C0153" w:rsidRDefault="00375B95" w:rsidP="0012709F">
    <w:pPr>
      <w:pBdr>
        <w:bottom w:val="single" w:sz="4" w:space="1" w:color="auto"/>
      </w:pBdr>
      <w:tabs>
        <w:tab w:val="right" w:pos="9639"/>
      </w:tabs>
      <w:rPr>
        <w:lang w:val="en-US"/>
      </w:rPr>
    </w:pPr>
    <w:r>
      <w:t xml:space="preserve">In Azerbaijani </w:t>
    </w:r>
    <w:proofErr w:type="spellStart"/>
    <w:r>
      <w:t>manats</w:t>
    </w:r>
    <w:proofErr w:type="spellEnd"/>
    <w:r>
      <w:t>, unless otherwise indicated</w:t>
    </w:r>
  </w:p>
  <w:p w14:paraId="58F3C59D" w14:textId="77777777" w:rsidR="00375B95" w:rsidRPr="0012709F" w:rsidRDefault="00375B95" w:rsidP="00065F4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7E32"/>
    <w:multiLevelType w:val="hybridMultilevel"/>
    <w:tmpl w:val="0F08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D65B36"/>
    <w:multiLevelType w:val="hybridMultilevel"/>
    <w:tmpl w:val="F9C4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F5814"/>
    <w:multiLevelType w:val="hybridMultilevel"/>
    <w:tmpl w:val="B44C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167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06EBF"/>
    <w:multiLevelType w:val="hybridMultilevel"/>
    <w:tmpl w:val="30B4E478"/>
    <w:lvl w:ilvl="0" w:tplc="80B8B9F2">
      <w:start w:val="3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F1C2C"/>
    <w:multiLevelType w:val="hybridMultilevel"/>
    <w:tmpl w:val="FA7CFBCC"/>
    <w:lvl w:ilvl="0" w:tplc="08090001">
      <w:start w:val="1"/>
      <w:numFmt w:val="bullet"/>
      <w:lvlText w:val=""/>
      <w:lvlJc w:val="left"/>
      <w:pPr>
        <w:ind w:left="720" w:hanging="360"/>
      </w:pPr>
      <w:rPr>
        <w:rFonts w:ascii="Symbol" w:hAnsi="Symbol" w:hint="default"/>
      </w:rPr>
    </w:lvl>
    <w:lvl w:ilvl="1" w:tplc="5FF4AB2E">
      <w:numFmt w:val="bullet"/>
      <w:lvlText w:val="•"/>
      <w:lvlJc w:val="left"/>
      <w:pPr>
        <w:ind w:left="1440" w:hanging="36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61BB7"/>
    <w:multiLevelType w:val="hybridMultilevel"/>
    <w:tmpl w:val="B40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E1C13"/>
    <w:multiLevelType w:val="hybridMultilevel"/>
    <w:tmpl w:val="60D069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E032B"/>
    <w:multiLevelType w:val="hybridMultilevel"/>
    <w:tmpl w:val="8F88E142"/>
    <w:lvl w:ilvl="0" w:tplc="5D6C95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D78"/>
    <w:multiLevelType w:val="hybridMultilevel"/>
    <w:tmpl w:val="39024A98"/>
    <w:lvl w:ilvl="0" w:tplc="5D6C95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E69CF"/>
    <w:multiLevelType w:val="hybridMultilevel"/>
    <w:tmpl w:val="7F402060"/>
    <w:lvl w:ilvl="0" w:tplc="AE789FF8">
      <w:start w:val="31"/>
      <w:numFmt w:val="bullet"/>
      <w:lvlText w:val="-"/>
      <w:lvlJc w:val="left"/>
      <w:pPr>
        <w:ind w:left="720" w:hanging="360"/>
      </w:pPr>
      <w:rPr>
        <w:rFonts w:ascii="Trebuchet MS" w:eastAsiaTheme="minorHAnsi" w:hAnsi="Trebuchet MS"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1468B"/>
    <w:multiLevelType w:val="hybridMultilevel"/>
    <w:tmpl w:val="E866481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D39B0"/>
    <w:multiLevelType w:val="hybridMultilevel"/>
    <w:tmpl w:val="9198DB32"/>
    <w:lvl w:ilvl="0" w:tplc="5D6C955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D6A65"/>
    <w:multiLevelType w:val="hybridMultilevel"/>
    <w:tmpl w:val="7A66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51B6D"/>
    <w:multiLevelType w:val="hybridMultilevel"/>
    <w:tmpl w:val="CDBE9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5955CE"/>
    <w:multiLevelType w:val="hybridMultilevel"/>
    <w:tmpl w:val="FA88E496"/>
    <w:lvl w:ilvl="0" w:tplc="E836F882">
      <w:start w:val="1"/>
      <w:numFmt w:val="bullet"/>
      <w:lvlText w:val=""/>
      <w:lvlJc w:val="left"/>
      <w:pPr>
        <w:tabs>
          <w:tab w:val="num" w:pos="357"/>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11"/>
  </w:num>
  <w:num w:numId="6">
    <w:abstractNumId w:val="6"/>
  </w:num>
  <w:num w:numId="7">
    <w:abstractNumId w:val="13"/>
  </w:num>
  <w:num w:numId="8">
    <w:abstractNumId w:val="2"/>
  </w:num>
  <w:num w:numId="9">
    <w:abstractNumId w:val="14"/>
  </w:num>
  <w:num w:numId="10">
    <w:abstractNumId w:val="5"/>
  </w:num>
  <w:num w:numId="11">
    <w:abstractNumId w:val="12"/>
  </w:num>
  <w:num w:numId="12">
    <w:abstractNumId w:val="15"/>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59"/>
    <w:rsid w:val="000038DD"/>
    <w:rsid w:val="00026836"/>
    <w:rsid w:val="000356D5"/>
    <w:rsid w:val="00064F7E"/>
    <w:rsid w:val="00065112"/>
    <w:rsid w:val="00065F46"/>
    <w:rsid w:val="00074275"/>
    <w:rsid w:val="00077391"/>
    <w:rsid w:val="00077BA6"/>
    <w:rsid w:val="00082103"/>
    <w:rsid w:val="0008373D"/>
    <w:rsid w:val="00096372"/>
    <w:rsid w:val="000B68BF"/>
    <w:rsid w:val="000B7759"/>
    <w:rsid w:val="000C5941"/>
    <w:rsid w:val="000C6782"/>
    <w:rsid w:val="000D2DB1"/>
    <w:rsid w:val="000D5A86"/>
    <w:rsid w:val="000F0BA8"/>
    <w:rsid w:val="00107E64"/>
    <w:rsid w:val="00111C2D"/>
    <w:rsid w:val="00121103"/>
    <w:rsid w:val="0012709F"/>
    <w:rsid w:val="00142917"/>
    <w:rsid w:val="00154347"/>
    <w:rsid w:val="001556F2"/>
    <w:rsid w:val="001764EE"/>
    <w:rsid w:val="0017799D"/>
    <w:rsid w:val="00196700"/>
    <w:rsid w:val="001B2FA0"/>
    <w:rsid w:val="001B5066"/>
    <w:rsid w:val="001D08D3"/>
    <w:rsid w:val="001D4A51"/>
    <w:rsid w:val="001D67A5"/>
    <w:rsid w:val="001E22C8"/>
    <w:rsid w:val="001F5A00"/>
    <w:rsid w:val="00200A1E"/>
    <w:rsid w:val="00203AE1"/>
    <w:rsid w:val="00234EB6"/>
    <w:rsid w:val="00243C86"/>
    <w:rsid w:val="0028128D"/>
    <w:rsid w:val="00290B01"/>
    <w:rsid w:val="002A4A63"/>
    <w:rsid w:val="002D3E99"/>
    <w:rsid w:val="002D5B9A"/>
    <w:rsid w:val="002E0C91"/>
    <w:rsid w:val="002E10F5"/>
    <w:rsid w:val="002E77BF"/>
    <w:rsid w:val="00310C73"/>
    <w:rsid w:val="0036449F"/>
    <w:rsid w:val="003730F9"/>
    <w:rsid w:val="00375B95"/>
    <w:rsid w:val="0038280C"/>
    <w:rsid w:val="0038677D"/>
    <w:rsid w:val="00387DB5"/>
    <w:rsid w:val="00397980"/>
    <w:rsid w:val="003B3EBF"/>
    <w:rsid w:val="003B733B"/>
    <w:rsid w:val="003D2C2A"/>
    <w:rsid w:val="003D3688"/>
    <w:rsid w:val="003E3477"/>
    <w:rsid w:val="003E68E4"/>
    <w:rsid w:val="003E719D"/>
    <w:rsid w:val="004120E2"/>
    <w:rsid w:val="004152B4"/>
    <w:rsid w:val="00450F06"/>
    <w:rsid w:val="004A0C6E"/>
    <w:rsid w:val="004A3FBA"/>
    <w:rsid w:val="004C48C1"/>
    <w:rsid w:val="004D7FF6"/>
    <w:rsid w:val="004E1EDE"/>
    <w:rsid w:val="00500031"/>
    <w:rsid w:val="00512436"/>
    <w:rsid w:val="005168A2"/>
    <w:rsid w:val="0055287E"/>
    <w:rsid w:val="00552C53"/>
    <w:rsid w:val="00555E3F"/>
    <w:rsid w:val="005720BF"/>
    <w:rsid w:val="005C18AE"/>
    <w:rsid w:val="005C554F"/>
    <w:rsid w:val="005D0A75"/>
    <w:rsid w:val="005E1DB3"/>
    <w:rsid w:val="005F4A79"/>
    <w:rsid w:val="006304E8"/>
    <w:rsid w:val="006549C6"/>
    <w:rsid w:val="00654F03"/>
    <w:rsid w:val="00656626"/>
    <w:rsid w:val="006B7940"/>
    <w:rsid w:val="007017D9"/>
    <w:rsid w:val="00703807"/>
    <w:rsid w:val="00723E14"/>
    <w:rsid w:val="007364B2"/>
    <w:rsid w:val="00744D85"/>
    <w:rsid w:val="00765EB1"/>
    <w:rsid w:val="00781E4C"/>
    <w:rsid w:val="0078286B"/>
    <w:rsid w:val="00783BA0"/>
    <w:rsid w:val="00796FAC"/>
    <w:rsid w:val="007B12E3"/>
    <w:rsid w:val="007B48D5"/>
    <w:rsid w:val="007C0978"/>
    <w:rsid w:val="007C571A"/>
    <w:rsid w:val="007D3509"/>
    <w:rsid w:val="007D3517"/>
    <w:rsid w:val="007D4AA9"/>
    <w:rsid w:val="007E4238"/>
    <w:rsid w:val="007E5EAC"/>
    <w:rsid w:val="007F7170"/>
    <w:rsid w:val="0081219A"/>
    <w:rsid w:val="008410B5"/>
    <w:rsid w:val="008B48ED"/>
    <w:rsid w:val="008F1551"/>
    <w:rsid w:val="008F38F1"/>
    <w:rsid w:val="008F3DF2"/>
    <w:rsid w:val="0090580A"/>
    <w:rsid w:val="00907732"/>
    <w:rsid w:val="00915047"/>
    <w:rsid w:val="00916316"/>
    <w:rsid w:val="00917605"/>
    <w:rsid w:val="00925374"/>
    <w:rsid w:val="00926896"/>
    <w:rsid w:val="009362D0"/>
    <w:rsid w:val="0095394E"/>
    <w:rsid w:val="0096486F"/>
    <w:rsid w:val="00995233"/>
    <w:rsid w:val="009B04A8"/>
    <w:rsid w:val="009B4E1C"/>
    <w:rsid w:val="009F385B"/>
    <w:rsid w:val="00A64ECA"/>
    <w:rsid w:val="00A82E69"/>
    <w:rsid w:val="00A91B56"/>
    <w:rsid w:val="00AB3163"/>
    <w:rsid w:val="00AC5A33"/>
    <w:rsid w:val="00AC5A38"/>
    <w:rsid w:val="00AE1E1C"/>
    <w:rsid w:val="00AF3E73"/>
    <w:rsid w:val="00AF4170"/>
    <w:rsid w:val="00B01813"/>
    <w:rsid w:val="00B344C3"/>
    <w:rsid w:val="00B37DF9"/>
    <w:rsid w:val="00B423F4"/>
    <w:rsid w:val="00B45FAE"/>
    <w:rsid w:val="00B5502D"/>
    <w:rsid w:val="00B67903"/>
    <w:rsid w:val="00B869E3"/>
    <w:rsid w:val="00BA544B"/>
    <w:rsid w:val="00BD2F47"/>
    <w:rsid w:val="00C41301"/>
    <w:rsid w:val="00C4197C"/>
    <w:rsid w:val="00C42AF6"/>
    <w:rsid w:val="00C43206"/>
    <w:rsid w:val="00C52A93"/>
    <w:rsid w:val="00C603D4"/>
    <w:rsid w:val="00C66EEF"/>
    <w:rsid w:val="00C77F5C"/>
    <w:rsid w:val="00CB03B8"/>
    <w:rsid w:val="00CB3AFD"/>
    <w:rsid w:val="00CC6FD6"/>
    <w:rsid w:val="00CD3678"/>
    <w:rsid w:val="00CE02C0"/>
    <w:rsid w:val="00CE428A"/>
    <w:rsid w:val="00D20412"/>
    <w:rsid w:val="00D23DAC"/>
    <w:rsid w:val="00D64947"/>
    <w:rsid w:val="00D66260"/>
    <w:rsid w:val="00D760BD"/>
    <w:rsid w:val="00DC7046"/>
    <w:rsid w:val="00DD648A"/>
    <w:rsid w:val="00DD7EB8"/>
    <w:rsid w:val="00DE5B33"/>
    <w:rsid w:val="00E209F8"/>
    <w:rsid w:val="00E2513E"/>
    <w:rsid w:val="00E45A79"/>
    <w:rsid w:val="00E60CEA"/>
    <w:rsid w:val="00E902FD"/>
    <w:rsid w:val="00EB4FC3"/>
    <w:rsid w:val="00ED4A6C"/>
    <w:rsid w:val="00F22DA3"/>
    <w:rsid w:val="00F23A48"/>
    <w:rsid w:val="00F32105"/>
    <w:rsid w:val="00F42E65"/>
    <w:rsid w:val="00F46C49"/>
    <w:rsid w:val="00F5144A"/>
    <w:rsid w:val="00F57670"/>
    <w:rsid w:val="00F618AC"/>
    <w:rsid w:val="00F63461"/>
    <w:rsid w:val="00F72423"/>
    <w:rsid w:val="00F84194"/>
    <w:rsid w:val="00FA1F91"/>
    <w:rsid w:val="00FA6665"/>
    <w:rsid w:val="00FA6DF7"/>
    <w:rsid w:val="00FB32BB"/>
    <w:rsid w:val="00FB55AD"/>
    <w:rsid w:val="00FC0F36"/>
    <w:rsid w:val="00FE53E7"/>
    <w:rsid w:val="00FF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3DD40"/>
  <w15:chartTrackingRefBased/>
  <w15:docId w15:val="{4029E54F-3514-4D53-AD50-3EA67C42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77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54F0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59"/>
    <w:pPr>
      <w:tabs>
        <w:tab w:val="center" w:pos="4513"/>
        <w:tab w:val="right" w:pos="9026"/>
      </w:tabs>
    </w:pPr>
  </w:style>
  <w:style w:type="character" w:customStyle="1" w:styleId="HeaderChar">
    <w:name w:val="Header Char"/>
    <w:basedOn w:val="DefaultParagraphFont"/>
    <w:link w:val="Header"/>
    <w:uiPriority w:val="99"/>
    <w:rsid w:val="000B7759"/>
  </w:style>
  <w:style w:type="paragraph" w:styleId="Footer">
    <w:name w:val="footer"/>
    <w:basedOn w:val="Normal"/>
    <w:link w:val="FooterChar"/>
    <w:uiPriority w:val="99"/>
    <w:unhideWhenUsed/>
    <w:rsid w:val="000B7759"/>
    <w:pPr>
      <w:tabs>
        <w:tab w:val="center" w:pos="4513"/>
        <w:tab w:val="right" w:pos="9026"/>
      </w:tabs>
    </w:pPr>
  </w:style>
  <w:style w:type="character" w:customStyle="1" w:styleId="FooterChar">
    <w:name w:val="Footer Char"/>
    <w:basedOn w:val="DefaultParagraphFont"/>
    <w:link w:val="Footer"/>
    <w:uiPriority w:val="99"/>
    <w:rsid w:val="000B7759"/>
  </w:style>
  <w:style w:type="character" w:customStyle="1" w:styleId="Heading1Char">
    <w:name w:val="Heading 1 Char"/>
    <w:basedOn w:val="DefaultParagraphFont"/>
    <w:link w:val="Heading1"/>
    <w:uiPriority w:val="9"/>
    <w:rsid w:val="000B77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775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0B7759"/>
    <w:pPr>
      <w:spacing w:after="100"/>
    </w:pPr>
    <w:rPr>
      <w:rFonts w:ascii="Times New Roman" w:hAnsi="Times New Roman"/>
      <w:sz w:val="22"/>
    </w:rPr>
  </w:style>
  <w:style w:type="paragraph" w:styleId="TOC2">
    <w:name w:val="toc 2"/>
    <w:basedOn w:val="Normal"/>
    <w:next w:val="Normal"/>
    <w:autoRedefine/>
    <w:uiPriority w:val="39"/>
    <w:unhideWhenUsed/>
    <w:rsid w:val="000B7759"/>
    <w:pPr>
      <w:spacing w:after="100"/>
      <w:ind w:left="200"/>
    </w:pPr>
    <w:rPr>
      <w:rFonts w:ascii="Times New Roman" w:hAnsi="Times New Roman"/>
      <w:sz w:val="22"/>
    </w:rPr>
  </w:style>
  <w:style w:type="paragraph" w:styleId="ListParagraph">
    <w:name w:val="List Paragraph"/>
    <w:basedOn w:val="Normal"/>
    <w:uiPriority w:val="34"/>
    <w:qFormat/>
    <w:rsid w:val="00744D85"/>
    <w:pPr>
      <w:ind w:left="720"/>
      <w:contextualSpacing/>
    </w:pPr>
  </w:style>
  <w:style w:type="paragraph" w:styleId="Caption">
    <w:name w:val="caption"/>
    <w:basedOn w:val="Normal"/>
    <w:next w:val="Normal"/>
    <w:uiPriority w:val="99"/>
    <w:qFormat/>
    <w:rsid w:val="00FA1F91"/>
    <w:pPr>
      <w:widowControl w:val="0"/>
      <w:adjustRightInd w:val="0"/>
      <w:jc w:val="both"/>
      <w:textAlignment w:val="baseline"/>
    </w:pPr>
    <w:rPr>
      <w:rFonts w:ascii="Swis721 Lt BT" w:eastAsia="Times New Roman" w:hAnsi="Swis721 Lt BT" w:cs="Times New Roman"/>
      <w:sz w:val="24"/>
      <w:szCs w:val="20"/>
    </w:rPr>
  </w:style>
  <w:style w:type="paragraph" w:styleId="NoSpacing">
    <w:name w:val="No Spacing"/>
    <w:uiPriority w:val="1"/>
    <w:qFormat/>
    <w:rsid w:val="00065F46"/>
  </w:style>
  <w:style w:type="paragraph" w:customStyle="1" w:styleId="Norml">
    <w:name w:val="Norml"/>
    <w:basedOn w:val="Normal"/>
    <w:next w:val="Normal"/>
    <w:link w:val="Norml0"/>
    <w:qFormat/>
    <w:rsid w:val="0012709F"/>
    <w:pPr>
      <w:spacing w:after="120"/>
    </w:pPr>
    <w:rPr>
      <w:rFonts w:ascii="Garamond" w:eastAsia="Times New Roman" w:hAnsi="Garamond" w:cs="Times New Roman"/>
      <w:szCs w:val="20"/>
    </w:rPr>
  </w:style>
  <w:style w:type="character" w:customStyle="1" w:styleId="Norml0">
    <w:name w:val="Norml Знак"/>
    <w:basedOn w:val="DefaultParagraphFont"/>
    <w:link w:val="Norml"/>
    <w:rsid w:val="0012709F"/>
    <w:rPr>
      <w:rFonts w:ascii="Garamond" w:eastAsia="Times New Roman" w:hAnsi="Garamond" w:cs="Times New Roman"/>
      <w:szCs w:val="20"/>
    </w:rPr>
  </w:style>
  <w:style w:type="paragraph" w:styleId="TableofFigures">
    <w:name w:val="table of figures"/>
    <w:basedOn w:val="Normal"/>
    <w:next w:val="Normal"/>
    <w:semiHidden/>
    <w:rsid w:val="000D5A86"/>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djustRightInd w:val="0"/>
      <w:spacing w:line="240" w:lineRule="atLeast"/>
      <w:ind w:left="567" w:hanging="567"/>
      <w:jc w:val="both"/>
      <w:textAlignment w:val="baseline"/>
    </w:pPr>
    <w:rPr>
      <w:rFonts w:ascii="Arial" w:eastAsia="Times New Roman" w:hAnsi="Arial" w:cs="Times"/>
      <w:sz w:val="18"/>
      <w:szCs w:val="20"/>
    </w:rPr>
  </w:style>
  <w:style w:type="paragraph" w:styleId="BalloonText">
    <w:name w:val="Balloon Text"/>
    <w:basedOn w:val="Normal"/>
    <w:link w:val="BalloonTextChar"/>
    <w:uiPriority w:val="99"/>
    <w:semiHidden/>
    <w:unhideWhenUsed/>
    <w:rsid w:val="00176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4EE"/>
    <w:rPr>
      <w:rFonts w:ascii="Segoe UI" w:hAnsi="Segoe UI" w:cs="Segoe UI"/>
      <w:sz w:val="18"/>
      <w:szCs w:val="18"/>
    </w:rPr>
  </w:style>
  <w:style w:type="paragraph" w:styleId="CommentText">
    <w:name w:val="annotation text"/>
    <w:basedOn w:val="Normal"/>
    <w:link w:val="CommentTextChar"/>
    <w:uiPriority w:val="99"/>
    <w:semiHidden/>
    <w:rsid w:val="001764EE"/>
    <w:pPr>
      <w:spacing w:after="120"/>
      <w:jc w:val="both"/>
    </w:pPr>
    <w:rPr>
      <w:rFonts w:eastAsia="Times New Roman" w:cs="Times New Roman"/>
      <w:szCs w:val="20"/>
      <w:lang w:val="ru-RU" w:eastAsia="ru-RU"/>
    </w:rPr>
  </w:style>
  <w:style w:type="character" w:customStyle="1" w:styleId="CommentTextChar">
    <w:name w:val="Comment Text Char"/>
    <w:basedOn w:val="DefaultParagraphFont"/>
    <w:link w:val="CommentText"/>
    <w:uiPriority w:val="99"/>
    <w:semiHidden/>
    <w:rsid w:val="001764EE"/>
    <w:rPr>
      <w:rFonts w:eastAsia="Times New Roman" w:cs="Times New Roman"/>
      <w:szCs w:val="20"/>
      <w:lang w:val="ru-RU" w:eastAsia="ru-RU"/>
    </w:rPr>
  </w:style>
  <w:style w:type="character" w:styleId="CommentReference">
    <w:name w:val="annotation reference"/>
    <w:rsid w:val="001764EE"/>
    <w:rPr>
      <w:sz w:val="16"/>
      <w:szCs w:val="16"/>
    </w:rPr>
  </w:style>
  <w:style w:type="paragraph" w:styleId="BodyText">
    <w:name w:val="Body Text"/>
    <w:aliases w:val="body text,bt"/>
    <w:basedOn w:val="Normal"/>
    <w:link w:val="BodyTextChar"/>
    <w:rsid w:val="00654F03"/>
    <w:pPr>
      <w:widowControl w:val="0"/>
      <w:suppressLineNumbers/>
      <w:adjustRightInd w:val="0"/>
      <w:ind w:right="1"/>
      <w:jc w:val="both"/>
      <w:textAlignment w:val="baseline"/>
    </w:pPr>
    <w:rPr>
      <w:rFonts w:ascii="Arial" w:eastAsia="Times New Roman" w:hAnsi="Arial" w:cs="Times New Roman"/>
      <w:szCs w:val="20"/>
    </w:rPr>
  </w:style>
  <w:style w:type="character" w:customStyle="1" w:styleId="BodyTextChar">
    <w:name w:val="Body Text Char"/>
    <w:aliases w:val="body text Char,bt Char"/>
    <w:basedOn w:val="DefaultParagraphFont"/>
    <w:link w:val="BodyText"/>
    <w:rsid w:val="00654F03"/>
    <w:rPr>
      <w:rFonts w:ascii="Arial" w:eastAsia="Times New Roman" w:hAnsi="Arial" w:cs="Times New Roman"/>
      <w:szCs w:val="20"/>
    </w:rPr>
  </w:style>
  <w:style w:type="paragraph" w:customStyle="1" w:styleId="StyleHeading22numberedindent2ni2h2Hanging2IndentHeader1">
    <w:name w:val="Style Heading 22numbered indent 2ni2h2Hanging 2 IndentHeader ...1"/>
    <w:basedOn w:val="Heading2"/>
    <w:rsid w:val="00654F03"/>
    <w:pPr>
      <w:keepLines w:val="0"/>
      <w:tabs>
        <w:tab w:val="left" w:pos="540"/>
      </w:tabs>
      <w:spacing w:before="120"/>
      <w:jc w:val="both"/>
    </w:pPr>
    <w:rPr>
      <w:rFonts w:ascii="Times New Roman" w:eastAsia="Times New Roman" w:hAnsi="Times New Roman" w:cs="Times New Roman"/>
      <w:b/>
      <w:bCs/>
      <w:snapToGrid w:val="0"/>
      <w:color w:val="auto"/>
      <w:sz w:val="20"/>
      <w:szCs w:val="20"/>
      <w:lang w:eastAsia="ru-RU"/>
    </w:rPr>
  </w:style>
  <w:style w:type="paragraph" w:customStyle="1" w:styleId="3">
    <w:name w:val="_3"/>
    <w:basedOn w:val="Heading4"/>
    <w:link w:val="3Char"/>
    <w:qFormat/>
    <w:rsid w:val="00654F03"/>
    <w:pPr>
      <w:keepNext w:val="0"/>
      <w:keepLines w:val="0"/>
      <w:widowControl w:val="0"/>
      <w:adjustRightInd w:val="0"/>
      <w:spacing w:before="240"/>
      <w:jc w:val="both"/>
      <w:textAlignment w:val="baseline"/>
    </w:pPr>
    <w:rPr>
      <w:rFonts w:ascii="Times New Roman" w:eastAsia="Times New Roman" w:hAnsi="Times New Roman" w:cs="Times New Roman"/>
      <w:iCs w:val="0"/>
      <w:color w:val="auto"/>
      <w:szCs w:val="20"/>
    </w:rPr>
  </w:style>
  <w:style w:type="character" w:customStyle="1" w:styleId="3Char">
    <w:name w:val="_3 Char"/>
    <w:basedOn w:val="DefaultParagraphFont"/>
    <w:link w:val="3"/>
    <w:rsid w:val="00654F03"/>
    <w:rPr>
      <w:rFonts w:ascii="Times New Roman" w:eastAsia="Times New Roman" w:hAnsi="Times New Roman" w:cs="Times New Roman"/>
      <w:i/>
      <w:szCs w:val="20"/>
    </w:rPr>
  </w:style>
  <w:style w:type="character" w:customStyle="1" w:styleId="Heading4Char">
    <w:name w:val="Heading 4 Char"/>
    <w:basedOn w:val="DefaultParagraphFont"/>
    <w:link w:val="Heading4"/>
    <w:uiPriority w:val="9"/>
    <w:semiHidden/>
    <w:rsid w:val="00654F03"/>
    <w:rPr>
      <w:rFonts w:asciiTheme="majorHAnsi" w:eastAsiaTheme="majorEastAsia" w:hAnsiTheme="majorHAnsi" w:cstheme="majorBidi"/>
      <w:i/>
      <w:iCs/>
      <w:color w:val="2E74B5" w:themeColor="accent1" w:themeShade="BF"/>
    </w:rPr>
  </w:style>
  <w:style w:type="paragraph" w:customStyle="1" w:styleId="ABC-paragrahinNotes">
    <w:name w:val="ABC - paragrah in Notes"/>
    <w:link w:val="ABC-paragrahinNotes0"/>
    <w:rsid w:val="007E4238"/>
    <w:pPr>
      <w:spacing w:after="240"/>
      <w:jc w:val="both"/>
    </w:pPr>
    <w:rPr>
      <w:rFonts w:ascii="Times New Roman" w:eastAsia="Times New Roman" w:hAnsi="Times New Roman" w:cs="Times New Roman"/>
      <w:szCs w:val="20"/>
    </w:rPr>
  </w:style>
  <w:style w:type="character" w:customStyle="1" w:styleId="ABC-paragrahinNotes0">
    <w:name w:val="ABC - paragrah in Notes Знак"/>
    <w:link w:val="ABC-paragrahinNotes"/>
    <w:rsid w:val="007E4238"/>
    <w:rPr>
      <w:rFonts w:ascii="Times New Roman" w:eastAsia="Times New Roman" w:hAnsi="Times New Roman" w:cs="Times New Roman"/>
      <w:szCs w:val="20"/>
    </w:rPr>
  </w:style>
  <w:style w:type="paragraph" w:customStyle="1" w:styleId="2">
    <w:name w:val="_2"/>
    <w:basedOn w:val="Normal"/>
    <w:link w:val="2Char"/>
    <w:qFormat/>
    <w:rsid w:val="009B4E1C"/>
    <w:pPr>
      <w:widowControl w:val="0"/>
      <w:overflowPunct w:val="0"/>
      <w:autoSpaceDE w:val="0"/>
      <w:autoSpaceDN w:val="0"/>
      <w:adjustRightInd w:val="0"/>
      <w:spacing w:before="240"/>
      <w:jc w:val="both"/>
      <w:textAlignment w:val="baseline"/>
    </w:pPr>
    <w:rPr>
      <w:rFonts w:ascii="Times New Roman" w:eastAsia="Times New Roman" w:hAnsi="Times New Roman" w:cs="Times New Roman"/>
      <w:b/>
      <w:szCs w:val="20"/>
    </w:rPr>
  </w:style>
  <w:style w:type="character" w:customStyle="1" w:styleId="2Char">
    <w:name w:val="_2 Char"/>
    <w:basedOn w:val="DefaultParagraphFont"/>
    <w:link w:val="2"/>
    <w:locked/>
    <w:rsid w:val="009B4E1C"/>
    <w:rPr>
      <w:rFonts w:ascii="Times New Roman" w:eastAsia="Times New Roman" w:hAnsi="Times New Roman" w:cs="Times New Roman"/>
      <w:b/>
      <w:szCs w:val="20"/>
    </w:rPr>
  </w:style>
  <w:style w:type="paragraph" w:customStyle="1" w:styleId="continued">
    <w:name w:val="_continued"/>
    <w:basedOn w:val="Normal"/>
    <w:qFormat/>
    <w:rsid w:val="00DE5B33"/>
    <w:pPr>
      <w:ind w:left="567" w:hanging="567"/>
      <w:jc w:val="both"/>
    </w:pPr>
    <w:rPr>
      <w:rFonts w:ascii="Times New Roman" w:eastAsia="Times New Roman" w:hAnsi="Times New Roman" w:cs="Times New Roman"/>
      <w:b/>
      <w:szCs w:val="20"/>
    </w:rPr>
  </w:style>
  <w:style w:type="paragraph" w:styleId="TOC4">
    <w:name w:val="toc 4"/>
    <w:basedOn w:val="Normal"/>
    <w:next w:val="Normal"/>
    <w:autoRedefine/>
    <w:uiPriority w:val="39"/>
    <w:unhideWhenUsed/>
    <w:rsid w:val="00A91B56"/>
    <w:pPr>
      <w:spacing w:after="100"/>
      <w:ind w:left="600"/>
    </w:pPr>
  </w:style>
  <w:style w:type="paragraph" w:customStyle="1" w:styleId="a">
    <w:name w:val="Знак Знак Знак Знак Знак Знак"/>
    <w:basedOn w:val="Normal"/>
    <w:semiHidden/>
    <w:rsid w:val="00A91B56"/>
    <w:pPr>
      <w:widowControl w:val="0"/>
      <w:tabs>
        <w:tab w:val="num" w:pos="360"/>
      </w:tabs>
      <w:adjustRightInd w:val="0"/>
      <w:spacing w:after="160" w:line="240" w:lineRule="exact"/>
      <w:jc w:val="both"/>
      <w:textAlignment w:val="baseline"/>
    </w:pPr>
    <w:rPr>
      <w:rFonts w:ascii="Times New Roman" w:eastAsia="Times New Roman" w:hAnsi="Times New Roman" w:cs="Times New Roman"/>
      <w:noProof/>
      <w:sz w:val="24"/>
      <w:szCs w:val="24"/>
      <w:lang w:val="en-US" w:eastAsia="en-GB"/>
    </w:rPr>
  </w:style>
  <w:style w:type="paragraph" w:customStyle="1" w:styleId="StyleStyleStyle1Left003cm1Left0cmAfter0pt">
    <w:name w:val="Style Style Style1 + Left:  0.03 cm1 + Left:  0 cm After:  0 pt"/>
    <w:basedOn w:val="Normal"/>
    <w:rsid w:val="00B67903"/>
    <w:pPr>
      <w:autoSpaceDE w:val="0"/>
      <w:autoSpaceDN w:val="0"/>
      <w:spacing w:before="120"/>
      <w:jc w:val="both"/>
    </w:pPr>
    <w:rPr>
      <w:rFonts w:ascii="Times New Roman" w:eastAsia="Times New Roman" w:hAnsi="Times New Roman" w:cs="Times New Roman"/>
      <w:snapToGrid w:val="0"/>
      <w:szCs w:val="20"/>
      <w:lang w:eastAsia="ru-RU"/>
    </w:rPr>
  </w:style>
  <w:style w:type="paragraph" w:styleId="TOCHeading">
    <w:name w:val="TOC Heading"/>
    <w:basedOn w:val="Heading1"/>
    <w:next w:val="Normal"/>
    <w:uiPriority w:val="39"/>
    <w:unhideWhenUsed/>
    <w:qFormat/>
    <w:rsid w:val="00F63461"/>
    <w:pPr>
      <w:spacing w:line="259" w:lineRule="auto"/>
      <w:outlineLvl w:val="9"/>
    </w:pPr>
    <w:rPr>
      <w:lang w:val="en-US"/>
    </w:rPr>
  </w:style>
  <w:style w:type="character" w:styleId="Hyperlink">
    <w:name w:val="Hyperlink"/>
    <w:basedOn w:val="DefaultParagraphFont"/>
    <w:uiPriority w:val="99"/>
    <w:unhideWhenUsed/>
    <w:rsid w:val="00F63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78314">
      <w:bodyDiv w:val="1"/>
      <w:marLeft w:val="0"/>
      <w:marRight w:val="0"/>
      <w:marTop w:val="0"/>
      <w:marBottom w:val="0"/>
      <w:divBdr>
        <w:top w:val="none" w:sz="0" w:space="0" w:color="auto"/>
        <w:left w:val="none" w:sz="0" w:space="0" w:color="auto"/>
        <w:bottom w:val="none" w:sz="0" w:space="0" w:color="auto"/>
        <w:right w:val="none" w:sz="0" w:space="0" w:color="auto"/>
      </w:divBdr>
      <w:divsChild>
        <w:div w:id="610815966">
          <w:marLeft w:val="0"/>
          <w:marRight w:val="0"/>
          <w:marTop w:val="0"/>
          <w:marBottom w:val="0"/>
          <w:divBdr>
            <w:top w:val="none" w:sz="0" w:space="0" w:color="auto"/>
            <w:left w:val="none" w:sz="0" w:space="0" w:color="auto"/>
            <w:bottom w:val="none" w:sz="0" w:space="0" w:color="auto"/>
            <w:right w:val="none" w:sz="0" w:space="0" w:color="auto"/>
          </w:divBdr>
        </w:div>
      </w:divsChild>
    </w:div>
    <w:div w:id="451020111">
      <w:bodyDiv w:val="1"/>
      <w:marLeft w:val="0"/>
      <w:marRight w:val="0"/>
      <w:marTop w:val="0"/>
      <w:marBottom w:val="0"/>
      <w:divBdr>
        <w:top w:val="none" w:sz="0" w:space="0" w:color="auto"/>
        <w:left w:val="none" w:sz="0" w:space="0" w:color="auto"/>
        <w:bottom w:val="none" w:sz="0" w:space="0" w:color="auto"/>
        <w:right w:val="none" w:sz="0" w:space="0" w:color="auto"/>
      </w:divBdr>
    </w:div>
    <w:div w:id="7002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65324453AE94AB51E1AA19CADAB92" ma:contentTypeVersion="13" ma:contentTypeDescription="Create a new document." ma:contentTypeScope="" ma:versionID="0dae3a8486ed8abeb92d282b019b6642">
  <xsd:schema xmlns:xsd="http://www.w3.org/2001/XMLSchema" xmlns:xs="http://www.w3.org/2001/XMLSchema" xmlns:p="http://schemas.microsoft.com/office/2006/metadata/properties" xmlns:ns3="dce9113f-0600-4312-a15a-8f336e7da2d5" xmlns:ns4="3904859b-4090-488f-8c25-e46c7de9c4cd" targetNamespace="http://schemas.microsoft.com/office/2006/metadata/properties" ma:root="true" ma:fieldsID="a66912debce1788e0ecd5fc84d82d8da" ns3:_="" ns4:_="">
    <xsd:import namespace="dce9113f-0600-4312-a15a-8f336e7da2d5"/>
    <xsd:import namespace="3904859b-4090-488f-8c25-e46c7de9c4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9113f-0600-4312-a15a-8f336e7d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4859b-4090-488f-8c25-e46c7de9c4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E623-ACCA-4C44-8972-76EEACEF04FF}">
  <ds:schemaRefs>
    <ds:schemaRef ds:uri="http://schemas.microsoft.com/sharepoint/v3/contenttype/forms"/>
  </ds:schemaRefs>
</ds:datastoreItem>
</file>

<file path=customXml/itemProps2.xml><?xml version="1.0" encoding="utf-8"?>
<ds:datastoreItem xmlns:ds="http://schemas.openxmlformats.org/officeDocument/2006/customXml" ds:itemID="{470C7B7B-7B84-4507-B0D8-A9736E4B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9113f-0600-4312-a15a-8f336e7da2d5"/>
    <ds:schemaRef ds:uri="3904859b-4090-488f-8c25-e46c7de9c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E2253-1E16-42A0-9F10-558EE04507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1F675-24DA-4AA7-A79E-0E524CE0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5471</TotalTime>
  <Pages>39</Pages>
  <Words>16731</Words>
  <Characters>95367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 Litvinchik</cp:lastModifiedBy>
  <cp:revision>37</cp:revision>
  <cp:lastPrinted>2020-09-29T06:34:00Z</cp:lastPrinted>
  <dcterms:created xsi:type="dcterms:W3CDTF">2020-08-17T07:58:00Z</dcterms:created>
  <dcterms:modified xsi:type="dcterms:W3CDTF">2020-12-03T09:41:00Z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0x01010038A65324453AE94AB51E1AA19CADAB92</vt:lpwstr>
  </property>
</Properties>
</file>